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E9999"/>
    <w:p w14:paraId="2CAFFD5E"/>
    <w:p w14:paraId="3E912983">
      <w:pPr>
        <w:ind w:firstLine="0" w:firstLineChars="0"/>
        <w:jc w:val="center"/>
        <w:outlineLvl w:val="0"/>
        <w:rPr>
          <w:rFonts w:ascii="宋体" w:hAnsi="宋体"/>
          <w:b/>
          <w:sz w:val="84"/>
          <w:szCs w:val="84"/>
        </w:rPr>
      </w:pPr>
      <w:bookmarkStart w:id="0" w:name="_Toc5634"/>
      <w:r>
        <w:rPr>
          <w:rFonts w:hint="eastAsia" w:ascii="宋体" w:hAnsi="宋体"/>
          <w:b/>
          <w:sz w:val="84"/>
          <w:szCs w:val="84"/>
        </w:rPr>
        <w:t>招  标  文  件</w:t>
      </w:r>
      <w:bookmarkEnd w:id="0"/>
    </w:p>
    <w:p w14:paraId="28F71098"/>
    <w:p w14:paraId="66EF659C">
      <w:pPr>
        <w:pStyle w:val="20"/>
        <w:ind w:firstLine="372"/>
      </w:pPr>
    </w:p>
    <w:p w14:paraId="5009C785">
      <w:pPr>
        <w:ind w:firstLine="0" w:firstLineChars="0"/>
        <w:jc w:val="center"/>
        <w:outlineLvl w:val="0"/>
        <w:rPr>
          <w:rFonts w:ascii="宋体" w:hAnsi="宋体"/>
          <w:sz w:val="32"/>
          <w:szCs w:val="32"/>
        </w:rPr>
      </w:pPr>
      <w:bookmarkStart w:id="1" w:name="_Toc0"/>
      <w:r>
        <w:rPr>
          <w:rFonts w:hint="eastAsia" w:ascii="宋体" w:hAnsi="宋体"/>
          <w:sz w:val="32"/>
          <w:szCs w:val="32"/>
        </w:rPr>
        <w:t>项目名称：</w:t>
      </w:r>
      <w:bookmarkEnd w:id="1"/>
      <w:r>
        <w:rPr>
          <w:rFonts w:hint="eastAsia" w:ascii="宋体" w:hAnsi="宋体"/>
          <w:sz w:val="32"/>
          <w:szCs w:val="32"/>
        </w:rPr>
        <w:t>润富花园二期地块人才公寓26#、28#装修室内家具采购、安装及其伴随服务</w:t>
      </w:r>
    </w:p>
    <w:p w14:paraId="02FCE2A0">
      <w:pPr>
        <w:pStyle w:val="2"/>
        <w:ind w:firstLine="480"/>
      </w:pPr>
    </w:p>
    <w:p w14:paraId="053F478D">
      <w:pPr>
        <w:ind w:firstLine="0" w:firstLineChars="0"/>
        <w:jc w:val="center"/>
        <w:outlineLvl w:val="0"/>
        <w:rPr>
          <w:rFonts w:ascii="宋体" w:hAnsi="宋体"/>
          <w:sz w:val="32"/>
          <w:szCs w:val="32"/>
        </w:rPr>
      </w:pPr>
      <w:r>
        <w:rPr>
          <w:rFonts w:hint="eastAsia" w:ascii="宋体" w:hAnsi="宋体"/>
          <w:sz w:val="32"/>
          <w:szCs w:val="32"/>
        </w:rPr>
        <w:t>项目编号：DFCG202503003</w:t>
      </w:r>
    </w:p>
    <w:p w14:paraId="3B4D8C56">
      <w:pPr>
        <w:pStyle w:val="20"/>
        <w:ind w:firstLine="372"/>
      </w:pPr>
      <w:r>
        <w:rPr>
          <w:rFonts w:hint="eastAsia"/>
        </w:rPr>
        <w:t xml:space="preserve">                        </w:t>
      </w:r>
    </w:p>
    <w:p w14:paraId="5980CE92"/>
    <w:p w14:paraId="6EDC7EB1"/>
    <w:p w14:paraId="4587C1BA">
      <w:pPr>
        <w:pStyle w:val="2"/>
        <w:ind w:firstLine="480"/>
      </w:pPr>
    </w:p>
    <w:p w14:paraId="08EAC143">
      <w:pPr>
        <w:pStyle w:val="2"/>
        <w:ind w:firstLine="480"/>
      </w:pPr>
    </w:p>
    <w:p w14:paraId="386B8E88">
      <w:pPr>
        <w:pStyle w:val="2"/>
        <w:ind w:firstLine="480"/>
      </w:pPr>
    </w:p>
    <w:p w14:paraId="2B0A43D8">
      <w:pPr>
        <w:pStyle w:val="2"/>
        <w:ind w:firstLine="480"/>
      </w:pPr>
    </w:p>
    <w:p w14:paraId="58444F9D">
      <w:pPr>
        <w:pStyle w:val="2"/>
        <w:ind w:firstLine="480"/>
      </w:pPr>
    </w:p>
    <w:p w14:paraId="0A39E7C3">
      <w:pPr>
        <w:pStyle w:val="2"/>
        <w:ind w:firstLine="480"/>
      </w:pPr>
    </w:p>
    <w:p w14:paraId="1EAA49AA"/>
    <w:p w14:paraId="466CC41F">
      <w:pPr>
        <w:spacing w:line="800" w:lineRule="exact"/>
        <w:ind w:firstLine="0" w:firstLineChars="0"/>
        <w:jc w:val="center"/>
        <w:outlineLvl w:val="0"/>
        <w:rPr>
          <w:rFonts w:ascii="宋体" w:hAnsi="宋体"/>
          <w:b/>
          <w:sz w:val="32"/>
          <w:szCs w:val="32"/>
          <w:u w:val="single"/>
        </w:rPr>
      </w:pPr>
      <w:bookmarkStart w:id="2" w:name="_Toc23445"/>
      <w:bookmarkStart w:id="3" w:name="_Toc368759509"/>
      <w:bookmarkStart w:id="4" w:name="_Toc363326675"/>
      <w:bookmarkStart w:id="5" w:name="_Toc369077541"/>
      <w:r>
        <w:rPr>
          <w:rFonts w:hint="eastAsia" w:ascii="宋体" w:hAnsi="宋体"/>
          <w:b/>
          <w:sz w:val="32"/>
          <w:szCs w:val="32"/>
          <w:u w:val="single"/>
        </w:rPr>
        <w:t>招   标   人：盐城市大丰区振城建设有限公司（盖章）</w:t>
      </w:r>
      <w:bookmarkEnd w:id="2"/>
    </w:p>
    <w:p w14:paraId="702608D2">
      <w:pPr>
        <w:spacing w:line="800" w:lineRule="exact"/>
        <w:ind w:firstLine="0" w:firstLineChars="0"/>
        <w:jc w:val="center"/>
        <w:outlineLvl w:val="0"/>
        <w:rPr>
          <w:rFonts w:ascii="宋体" w:hAnsi="宋体"/>
          <w:b/>
          <w:sz w:val="32"/>
          <w:szCs w:val="32"/>
          <w:u w:val="single"/>
        </w:rPr>
      </w:pPr>
      <w:bookmarkStart w:id="6" w:name="_Toc17560"/>
      <w:r>
        <w:rPr>
          <w:rFonts w:hint="eastAsia" w:ascii="宋体" w:hAnsi="宋体"/>
          <w:b/>
          <w:sz w:val="32"/>
          <w:szCs w:val="32"/>
          <w:u w:val="single"/>
        </w:rPr>
        <w:t>招标代理机构：江苏双清工程造价咨询有限公司（盖章）</w:t>
      </w:r>
      <w:bookmarkEnd w:id="6"/>
    </w:p>
    <w:p w14:paraId="2FDD28A4">
      <w:pPr>
        <w:spacing w:line="800" w:lineRule="exact"/>
        <w:ind w:firstLine="0" w:firstLineChars="0"/>
        <w:jc w:val="center"/>
        <w:outlineLvl w:val="0"/>
        <w:rPr>
          <w:rFonts w:ascii="宋体" w:hAnsi="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720" w:num="1"/>
          <w:docGrid w:type="linesAndChars" w:linePitch="312" w:charSpace="0"/>
        </w:sectPr>
      </w:pPr>
      <w:bookmarkStart w:id="7" w:name="_Toc10940"/>
      <w:r>
        <w:rPr>
          <w:rFonts w:hint="eastAsia" w:ascii="宋体" w:hAnsi="宋体"/>
          <w:b/>
          <w:sz w:val="32"/>
          <w:szCs w:val="32"/>
        </w:rPr>
        <w:t>二〇二五年</w:t>
      </w:r>
      <w:r>
        <w:rPr>
          <w:rFonts w:hint="eastAsia" w:ascii="宋体" w:hAnsi="宋体"/>
          <w:b/>
          <w:sz w:val="32"/>
          <w:szCs w:val="32"/>
          <w:lang w:val="en-US" w:eastAsia="zh-CN"/>
        </w:rPr>
        <w:t>三</w:t>
      </w:r>
      <w:bookmarkStart w:id="465" w:name="_GoBack"/>
      <w:bookmarkEnd w:id="465"/>
      <w:r>
        <w:rPr>
          <w:rFonts w:hint="eastAsia" w:ascii="宋体" w:hAnsi="宋体"/>
          <w:b/>
          <w:sz w:val="32"/>
          <w:szCs w:val="32"/>
        </w:rPr>
        <w:t>月</w:t>
      </w:r>
      <w:bookmarkEnd w:id="7"/>
    </w:p>
    <w:p w14:paraId="6005CA0A">
      <w:pPr>
        <w:ind w:firstLine="883"/>
        <w:jc w:val="center"/>
        <w:rPr>
          <w:b/>
          <w:bCs/>
          <w:kern w:val="44"/>
          <w:sz w:val="44"/>
          <w:szCs w:val="44"/>
        </w:rPr>
      </w:pPr>
      <w:r>
        <w:rPr>
          <w:rFonts w:hint="eastAsia"/>
          <w:b/>
          <w:bCs/>
          <w:kern w:val="44"/>
          <w:sz w:val="44"/>
          <w:szCs w:val="44"/>
        </w:rPr>
        <w:t>目录</w:t>
      </w:r>
    </w:p>
    <w:p w14:paraId="50A37715">
      <w:pPr>
        <w:pStyle w:val="72"/>
        <w:tabs>
          <w:tab w:val="right" w:leader="dot" w:pos="9746"/>
        </w:tabs>
        <w:rPr>
          <w:sz w:val="32"/>
          <w:szCs w:val="32"/>
        </w:rPr>
      </w:pPr>
      <w:r>
        <w:rPr>
          <w:sz w:val="32"/>
          <w:szCs w:val="32"/>
        </w:rPr>
        <w:fldChar w:fldCharType="begin"/>
      </w:r>
      <w:r>
        <w:rPr>
          <w:sz w:val="32"/>
          <w:szCs w:val="32"/>
        </w:rPr>
        <w:instrText xml:space="preserve">TOC \o "1-1" \h \u </w:instrText>
      </w:r>
      <w:r>
        <w:rPr>
          <w:sz w:val="32"/>
          <w:szCs w:val="32"/>
        </w:rPr>
        <w:fldChar w:fldCharType="separate"/>
      </w:r>
    </w:p>
    <w:p w14:paraId="363D7311">
      <w:pPr>
        <w:pStyle w:val="72"/>
        <w:tabs>
          <w:tab w:val="right" w:leader="dot" w:pos="8820"/>
        </w:tabs>
        <w:ind w:left="-420" w:leftChars="-200" w:right="525" w:rightChars="250" w:firstLine="800" w:firstLineChars="400"/>
        <w:rPr>
          <w:sz w:val="32"/>
          <w:szCs w:val="32"/>
        </w:rPr>
      </w:pPr>
      <w:r>
        <w:fldChar w:fldCharType="begin"/>
      </w:r>
      <w:r>
        <w:instrText xml:space="preserve"> HYPERLINK \l "_Toc247" </w:instrText>
      </w:r>
      <w:r>
        <w:fldChar w:fldCharType="separate"/>
      </w:r>
      <w:r>
        <w:rPr>
          <w:rFonts w:hint="eastAsia" w:ascii="宋体" w:hAnsi="宋体"/>
          <w:sz w:val="32"/>
          <w:szCs w:val="72"/>
        </w:rPr>
        <w:t>第一章  招标公告</w:t>
      </w:r>
      <w:r>
        <w:rPr>
          <w:sz w:val="32"/>
          <w:szCs w:val="32"/>
        </w:rPr>
        <w:tab/>
      </w:r>
      <w:r>
        <w:rPr>
          <w:sz w:val="32"/>
          <w:szCs w:val="32"/>
        </w:rPr>
        <w:fldChar w:fldCharType="begin"/>
      </w:r>
      <w:r>
        <w:rPr>
          <w:sz w:val="32"/>
          <w:szCs w:val="32"/>
        </w:rPr>
        <w:instrText xml:space="preserve"> PAGEREF _Toc247 \h </w:instrText>
      </w:r>
      <w:r>
        <w:rPr>
          <w:sz w:val="32"/>
          <w:szCs w:val="32"/>
        </w:rPr>
        <w:fldChar w:fldCharType="separate"/>
      </w:r>
      <w:r>
        <w:rPr>
          <w:sz w:val="32"/>
          <w:szCs w:val="32"/>
        </w:rPr>
        <w:t>1</w:t>
      </w:r>
      <w:r>
        <w:rPr>
          <w:sz w:val="32"/>
          <w:szCs w:val="32"/>
        </w:rPr>
        <w:fldChar w:fldCharType="end"/>
      </w:r>
      <w:r>
        <w:rPr>
          <w:sz w:val="32"/>
          <w:szCs w:val="32"/>
        </w:rPr>
        <w:fldChar w:fldCharType="end"/>
      </w:r>
    </w:p>
    <w:p w14:paraId="6799B3C9">
      <w:pPr>
        <w:pStyle w:val="72"/>
        <w:tabs>
          <w:tab w:val="right" w:leader="dot" w:pos="8820"/>
        </w:tabs>
        <w:ind w:left="-420" w:leftChars="-200" w:firstLine="800" w:firstLineChars="400"/>
        <w:rPr>
          <w:sz w:val="32"/>
          <w:szCs w:val="32"/>
        </w:rPr>
      </w:pPr>
      <w:r>
        <w:fldChar w:fldCharType="begin"/>
      </w:r>
      <w:r>
        <w:instrText xml:space="preserve"> HYPERLINK \l "_Toc24510" </w:instrText>
      </w:r>
      <w:r>
        <w:fldChar w:fldCharType="separate"/>
      </w:r>
      <w:r>
        <w:rPr>
          <w:rFonts w:ascii="宋体" w:hAnsi="宋体"/>
          <w:sz w:val="32"/>
          <w:szCs w:val="32"/>
        </w:rPr>
        <w:t>第二章  投标人须知</w:t>
      </w:r>
      <w:r>
        <w:rPr>
          <w:sz w:val="32"/>
          <w:szCs w:val="32"/>
        </w:rPr>
        <w:tab/>
      </w:r>
      <w:r>
        <w:rPr>
          <w:sz w:val="32"/>
          <w:szCs w:val="32"/>
        </w:rPr>
        <w:fldChar w:fldCharType="begin"/>
      </w:r>
      <w:r>
        <w:rPr>
          <w:sz w:val="32"/>
          <w:szCs w:val="32"/>
        </w:rPr>
        <w:instrText xml:space="preserve"> PAGEREF _Toc24510 \h </w:instrText>
      </w:r>
      <w:r>
        <w:rPr>
          <w:sz w:val="32"/>
          <w:szCs w:val="32"/>
        </w:rPr>
        <w:fldChar w:fldCharType="separate"/>
      </w:r>
      <w:r>
        <w:rPr>
          <w:sz w:val="32"/>
          <w:szCs w:val="32"/>
        </w:rPr>
        <w:t>4</w:t>
      </w:r>
      <w:r>
        <w:rPr>
          <w:sz w:val="32"/>
          <w:szCs w:val="32"/>
        </w:rPr>
        <w:fldChar w:fldCharType="end"/>
      </w:r>
      <w:r>
        <w:rPr>
          <w:sz w:val="32"/>
          <w:szCs w:val="32"/>
        </w:rPr>
        <w:fldChar w:fldCharType="end"/>
      </w:r>
    </w:p>
    <w:p w14:paraId="7C05E482">
      <w:pPr>
        <w:pStyle w:val="72"/>
        <w:tabs>
          <w:tab w:val="right" w:leader="dot" w:pos="8820"/>
        </w:tabs>
        <w:ind w:left="-420" w:leftChars="-200" w:firstLine="800" w:firstLineChars="400"/>
        <w:rPr>
          <w:sz w:val="32"/>
          <w:szCs w:val="32"/>
        </w:rPr>
      </w:pPr>
      <w:r>
        <w:fldChar w:fldCharType="begin"/>
      </w:r>
      <w:r>
        <w:instrText xml:space="preserve"> HYPERLINK \l "_Toc2739" </w:instrText>
      </w:r>
      <w:r>
        <w:fldChar w:fldCharType="separate"/>
      </w:r>
      <w:r>
        <w:rPr>
          <w:rFonts w:hint="eastAsia" w:ascii="宋体" w:hAnsi="宋体"/>
          <w:sz w:val="32"/>
          <w:szCs w:val="32"/>
        </w:rPr>
        <w:t>第三章  评标办法（综合评分法）</w:t>
      </w:r>
      <w:r>
        <w:rPr>
          <w:sz w:val="32"/>
          <w:szCs w:val="32"/>
        </w:rPr>
        <w:tab/>
      </w:r>
      <w:r>
        <w:rPr>
          <w:sz w:val="32"/>
          <w:szCs w:val="32"/>
        </w:rPr>
        <w:fldChar w:fldCharType="begin"/>
      </w:r>
      <w:r>
        <w:rPr>
          <w:sz w:val="32"/>
          <w:szCs w:val="32"/>
        </w:rPr>
        <w:instrText xml:space="preserve"> PAGEREF _Toc2739 \h </w:instrText>
      </w:r>
      <w:r>
        <w:rPr>
          <w:sz w:val="32"/>
          <w:szCs w:val="32"/>
        </w:rPr>
        <w:fldChar w:fldCharType="separate"/>
      </w:r>
      <w:r>
        <w:rPr>
          <w:sz w:val="32"/>
          <w:szCs w:val="32"/>
        </w:rPr>
        <w:t>23</w:t>
      </w:r>
      <w:r>
        <w:rPr>
          <w:sz w:val="32"/>
          <w:szCs w:val="32"/>
        </w:rPr>
        <w:fldChar w:fldCharType="end"/>
      </w:r>
      <w:r>
        <w:rPr>
          <w:sz w:val="32"/>
          <w:szCs w:val="32"/>
        </w:rPr>
        <w:fldChar w:fldCharType="end"/>
      </w:r>
    </w:p>
    <w:p w14:paraId="66F1B3F3">
      <w:pPr>
        <w:pStyle w:val="72"/>
        <w:tabs>
          <w:tab w:val="right" w:leader="dot" w:pos="8820"/>
        </w:tabs>
        <w:ind w:firstLine="400" w:firstLineChars="200"/>
        <w:rPr>
          <w:sz w:val="32"/>
          <w:szCs w:val="32"/>
        </w:rPr>
      </w:pPr>
      <w:r>
        <w:fldChar w:fldCharType="begin"/>
      </w:r>
      <w:r>
        <w:instrText xml:space="preserve"> HYPERLINK \l "_Toc21127" </w:instrText>
      </w:r>
      <w:r>
        <w:fldChar w:fldCharType="separate"/>
      </w:r>
      <w:r>
        <w:rPr>
          <w:rFonts w:hint="eastAsia" w:ascii="宋体" w:hAnsi="宋体"/>
          <w:sz w:val="32"/>
          <w:szCs w:val="32"/>
        </w:rPr>
        <w:t>第四章  合同条款及格式</w:t>
      </w:r>
      <w:r>
        <w:rPr>
          <w:sz w:val="32"/>
          <w:szCs w:val="32"/>
        </w:rPr>
        <w:tab/>
      </w:r>
      <w:r>
        <w:rPr>
          <w:rFonts w:hint="eastAsia"/>
          <w:sz w:val="32"/>
          <w:szCs w:val="32"/>
        </w:rPr>
        <w:t>2</w:t>
      </w:r>
      <w:r>
        <w:rPr>
          <w:rFonts w:hint="eastAsia"/>
          <w:sz w:val="32"/>
          <w:szCs w:val="32"/>
        </w:rPr>
        <w:fldChar w:fldCharType="end"/>
      </w:r>
      <w:r>
        <w:rPr>
          <w:rFonts w:hint="eastAsia"/>
          <w:sz w:val="32"/>
          <w:szCs w:val="32"/>
        </w:rPr>
        <w:t>9</w:t>
      </w:r>
    </w:p>
    <w:p w14:paraId="0FFE65FB">
      <w:pPr>
        <w:pStyle w:val="72"/>
        <w:tabs>
          <w:tab w:val="right" w:leader="dot" w:pos="8820"/>
        </w:tabs>
        <w:ind w:firstLine="400" w:firstLineChars="200"/>
        <w:rPr>
          <w:sz w:val="32"/>
          <w:szCs w:val="32"/>
        </w:rPr>
      </w:pPr>
      <w:r>
        <w:fldChar w:fldCharType="begin"/>
      </w:r>
      <w:r>
        <w:instrText xml:space="preserve"> HYPERLINK \l "_Toc8254" </w:instrText>
      </w:r>
      <w:r>
        <w:fldChar w:fldCharType="separate"/>
      </w:r>
      <w:r>
        <w:rPr>
          <w:rFonts w:hint="eastAsia" w:ascii="宋体" w:hAnsi="宋体"/>
          <w:sz w:val="32"/>
          <w:szCs w:val="32"/>
        </w:rPr>
        <w:t>第五章  采购需求</w:t>
      </w:r>
      <w:r>
        <w:rPr>
          <w:sz w:val="32"/>
          <w:szCs w:val="32"/>
        </w:rPr>
        <w:tab/>
      </w:r>
      <w:r>
        <w:rPr>
          <w:rFonts w:hint="eastAsia"/>
          <w:sz w:val="32"/>
          <w:szCs w:val="32"/>
        </w:rPr>
        <w:t>4</w:t>
      </w:r>
      <w:r>
        <w:rPr>
          <w:rFonts w:hint="eastAsia"/>
          <w:sz w:val="32"/>
          <w:szCs w:val="32"/>
        </w:rPr>
        <w:fldChar w:fldCharType="end"/>
      </w:r>
      <w:r>
        <w:rPr>
          <w:rFonts w:hint="eastAsia"/>
          <w:sz w:val="32"/>
          <w:szCs w:val="32"/>
        </w:rPr>
        <w:t>0</w:t>
      </w:r>
    </w:p>
    <w:p w14:paraId="4095153E">
      <w:pPr>
        <w:pStyle w:val="72"/>
        <w:tabs>
          <w:tab w:val="right" w:leader="dot" w:pos="8820"/>
        </w:tabs>
        <w:ind w:left="182" w:leftChars="87" w:firstLine="184" w:firstLineChars="92"/>
        <w:jc w:val="both"/>
        <w:rPr>
          <w:sz w:val="32"/>
          <w:szCs w:val="32"/>
        </w:rPr>
      </w:pPr>
      <w:r>
        <w:fldChar w:fldCharType="begin"/>
      </w:r>
      <w:r>
        <w:instrText xml:space="preserve"> HYPERLINK \l "_Toc12016" </w:instrText>
      </w:r>
      <w:r>
        <w:fldChar w:fldCharType="separate"/>
      </w:r>
      <w:r>
        <w:rPr>
          <w:rFonts w:hint="eastAsia" w:ascii="宋体" w:hAnsi="宋体"/>
          <w:sz w:val="32"/>
          <w:szCs w:val="32"/>
        </w:rPr>
        <w:t>第六章  投标文件格式</w:t>
      </w:r>
      <w:r>
        <w:rPr>
          <w:sz w:val="32"/>
          <w:szCs w:val="32"/>
        </w:rPr>
        <w:tab/>
      </w:r>
      <w:r>
        <w:rPr>
          <w:rFonts w:hint="eastAsia"/>
          <w:sz w:val="32"/>
          <w:szCs w:val="32"/>
        </w:rPr>
        <w:t>5</w:t>
      </w:r>
      <w:r>
        <w:rPr>
          <w:rFonts w:hint="eastAsia"/>
          <w:sz w:val="32"/>
          <w:szCs w:val="32"/>
        </w:rPr>
        <w:fldChar w:fldCharType="end"/>
      </w:r>
      <w:r>
        <w:rPr>
          <w:rFonts w:hint="eastAsia"/>
          <w:sz w:val="32"/>
          <w:szCs w:val="32"/>
        </w:rPr>
        <w:t>9</w:t>
      </w:r>
    </w:p>
    <w:p w14:paraId="1357D8A5">
      <w:pPr>
        <w:pStyle w:val="28"/>
        <w:ind w:firstLine="420"/>
      </w:pPr>
      <w:r>
        <w:fldChar w:fldCharType="end"/>
      </w:r>
    </w:p>
    <w:p w14:paraId="711AD234">
      <w:pPr>
        <w:pStyle w:val="20"/>
        <w:ind w:firstLine="372"/>
      </w:pPr>
    </w:p>
    <w:p w14:paraId="4C98BE5C"/>
    <w:p w14:paraId="760554DD">
      <w:pPr>
        <w:pStyle w:val="20"/>
        <w:ind w:firstLine="372"/>
      </w:pPr>
    </w:p>
    <w:p w14:paraId="333F7F99"/>
    <w:p w14:paraId="2D200891">
      <w:pPr>
        <w:pStyle w:val="20"/>
        <w:ind w:firstLine="372"/>
      </w:pPr>
    </w:p>
    <w:p w14:paraId="2CA1B8CE"/>
    <w:p w14:paraId="68DA28B5">
      <w:pPr>
        <w:pStyle w:val="20"/>
        <w:ind w:firstLine="372"/>
      </w:pPr>
    </w:p>
    <w:p w14:paraId="36B235D7"/>
    <w:p w14:paraId="1857F749">
      <w:pPr>
        <w:pStyle w:val="20"/>
        <w:ind w:firstLine="372"/>
      </w:pPr>
    </w:p>
    <w:p w14:paraId="39065560"/>
    <w:p w14:paraId="05D2C850"/>
    <w:bookmarkEnd w:id="3"/>
    <w:bookmarkEnd w:id="4"/>
    <w:bookmarkEnd w:id="5"/>
    <w:p w14:paraId="19501A04">
      <w:pPr>
        <w:pStyle w:val="4"/>
        <w:ind w:firstLine="883"/>
        <w:sectPr>
          <w:headerReference r:id="rId11" w:type="default"/>
          <w:footerReference r:id="rId12" w:type="default"/>
          <w:pgSz w:w="11906" w:h="16838"/>
          <w:pgMar w:top="1440" w:right="1080" w:bottom="1440" w:left="1080" w:header="851" w:footer="992" w:gutter="0"/>
          <w:pgNumType w:start="1"/>
          <w:cols w:space="720" w:num="1"/>
          <w:docGrid w:type="linesAndChars" w:linePitch="312" w:charSpace="0"/>
        </w:sectPr>
      </w:pPr>
      <w:bookmarkStart w:id="8" w:name="_Toc508216877"/>
      <w:bookmarkStart w:id="9" w:name="_Toc247"/>
      <w:bookmarkStart w:id="10" w:name="OLE_LINK1"/>
      <w:bookmarkStart w:id="11" w:name="_Toc369077550"/>
      <w:bookmarkStart w:id="12" w:name="OLE_LINK3"/>
      <w:bookmarkStart w:id="13" w:name="_Toc368759511"/>
      <w:bookmarkStart w:id="14" w:name="OLE_LINK4"/>
      <w:bookmarkStart w:id="15" w:name="OLE_LINK5"/>
      <w:bookmarkStart w:id="16" w:name="OLE_LINK2"/>
      <w:bookmarkStart w:id="17" w:name="OLE_LINK6"/>
    </w:p>
    <w:p w14:paraId="0DF03BC2">
      <w:pPr>
        <w:pStyle w:val="4"/>
        <w:ind w:firstLine="0" w:firstLineChars="0"/>
      </w:pPr>
      <w:r>
        <w:rPr>
          <w:rFonts w:hint="eastAsia"/>
        </w:rPr>
        <w:t>第一章  招标公告</w:t>
      </w:r>
      <w:bookmarkEnd w:id="8"/>
      <w:bookmarkEnd w:id="9"/>
    </w:p>
    <w:p w14:paraId="111415F5">
      <w:pPr>
        <w:ind w:firstLine="422"/>
      </w:pPr>
      <w:r>
        <w:rPr>
          <w:rFonts w:hint="eastAsia"/>
          <w:b/>
          <w:bCs/>
        </w:rPr>
        <w:t>项目概况：</w:t>
      </w:r>
      <w:r>
        <w:rPr>
          <w:rFonts w:hint="eastAsia"/>
          <w:u w:val="single"/>
        </w:rPr>
        <w:t>润富花园二期地块人才公寓26#、28#装修室内家具采购、安装及其伴随服务</w:t>
      </w:r>
      <w:r>
        <w:rPr>
          <w:rFonts w:hint="eastAsia"/>
        </w:rPr>
        <w:t>的潜在投标人应在“新点电子交易平台-大丰政府采购系统”（网址：</w:t>
      </w:r>
      <w:r>
        <w:fldChar w:fldCharType="begin"/>
      </w:r>
      <w:r>
        <w:instrText xml:space="preserve"> HYPERLINK "https://www.etrading.cn/BREpointSSO/login/oauth2login）获取招标文件，并于2025年" </w:instrText>
      </w:r>
      <w:r>
        <w:fldChar w:fldCharType="separate"/>
      </w:r>
      <w:r>
        <w:rPr>
          <w:rStyle w:val="56"/>
          <w:rFonts w:hint="eastAsia" w:ascii="宋体" w:hAnsi="宋体" w:cs="宋体"/>
        </w:rPr>
        <w:t>https://www.etrading.cn/BREpointSSO/login/oauth2login）获取招标文件，并于202</w:t>
      </w:r>
      <w:r>
        <w:rPr>
          <w:rStyle w:val="56"/>
          <w:rFonts w:ascii="宋体" w:hAnsi="宋体" w:cs="宋体"/>
        </w:rPr>
        <w:t>5</w:t>
      </w:r>
      <w:r>
        <w:rPr>
          <w:rStyle w:val="56"/>
          <w:rFonts w:hint="eastAsia" w:ascii="宋体" w:hAnsi="宋体" w:cs="宋体"/>
        </w:rPr>
        <w:t>年</w:t>
      </w:r>
      <w:r>
        <w:rPr>
          <w:rStyle w:val="56"/>
          <w:rFonts w:hint="eastAsia" w:ascii="宋体" w:hAnsi="宋体" w:cs="宋体"/>
        </w:rPr>
        <w:fldChar w:fldCharType="end"/>
      </w:r>
      <w:r>
        <w:rPr>
          <w:u w:val="single"/>
        </w:rPr>
        <w:t xml:space="preserve"> </w:t>
      </w:r>
      <w:r>
        <w:rPr>
          <w:rFonts w:hint="eastAsia"/>
          <w:u w:val="single"/>
          <w:lang w:val="en-US" w:eastAsia="zh-CN"/>
        </w:rPr>
        <w:t xml:space="preserve">3 </w:t>
      </w:r>
      <w:r>
        <w:rPr>
          <w:rFonts w:hint="eastAsia"/>
        </w:rPr>
        <w:t>月</w:t>
      </w:r>
      <w:r>
        <w:rPr>
          <w:u w:val="single"/>
        </w:rPr>
        <w:t xml:space="preserve"> </w:t>
      </w:r>
      <w:r>
        <w:rPr>
          <w:rFonts w:hint="eastAsia"/>
          <w:u w:val="single"/>
          <w:lang w:val="en-US" w:eastAsia="zh-CN"/>
        </w:rPr>
        <w:t>27</w:t>
      </w:r>
      <w:r>
        <w:rPr>
          <w:u w:val="single"/>
        </w:rPr>
        <w:t xml:space="preserve"> </w:t>
      </w:r>
      <w:r>
        <w:rPr>
          <w:rFonts w:hint="eastAsia"/>
        </w:rPr>
        <w:t>日</w:t>
      </w:r>
      <w:r>
        <w:rPr>
          <w:rFonts w:hint="eastAsia"/>
          <w:u w:val="single"/>
        </w:rPr>
        <w:t>0</w:t>
      </w:r>
      <w:r>
        <w:rPr>
          <w:rFonts w:hint="eastAsia"/>
          <w:u w:val="single"/>
          <w:lang w:val="en-US" w:eastAsia="zh-CN"/>
        </w:rPr>
        <w:t>9</w:t>
      </w:r>
      <w:r>
        <w:rPr>
          <w:rFonts w:hint="eastAsia"/>
        </w:rPr>
        <w:t>时</w:t>
      </w:r>
      <w:r>
        <w:rPr>
          <w:rFonts w:hint="eastAsia"/>
          <w:u w:val="single"/>
        </w:rPr>
        <w:t>00</w:t>
      </w:r>
      <w:r>
        <w:rPr>
          <w:rFonts w:hint="eastAsia"/>
        </w:rPr>
        <w:t>分</w:t>
      </w:r>
      <w:r>
        <w:rPr>
          <w:rFonts w:hint="eastAsia"/>
          <w:u w:val="single"/>
        </w:rPr>
        <w:t xml:space="preserve"> 00 </w:t>
      </w:r>
      <w:r>
        <w:rPr>
          <w:rFonts w:hint="eastAsia"/>
        </w:rPr>
        <w:t>秒（北京时间）前递交投标文件。</w:t>
      </w:r>
    </w:p>
    <w:p w14:paraId="4C8E3463">
      <w:r>
        <w:rPr>
          <w:rFonts w:hint="eastAsia"/>
        </w:rPr>
        <w:t>一、项目基本概况</w:t>
      </w:r>
    </w:p>
    <w:p w14:paraId="3EC6802F">
      <w:r>
        <w:rPr>
          <w:rFonts w:hint="eastAsia"/>
        </w:rPr>
        <w:t>（1）项目编号：</w:t>
      </w:r>
      <w:r>
        <w:rPr>
          <w:rFonts w:hint="eastAsia"/>
          <w:u w:val="single"/>
        </w:rPr>
        <w:t>DFCG202503003</w:t>
      </w:r>
      <w:r>
        <w:t xml:space="preserve"> </w:t>
      </w:r>
    </w:p>
    <w:p w14:paraId="4E4FE5E8">
      <w:r>
        <w:rPr>
          <w:rFonts w:hint="eastAsia"/>
        </w:rPr>
        <w:t>（2）项目名称：</w:t>
      </w:r>
      <w:r>
        <w:rPr>
          <w:rFonts w:hint="eastAsia"/>
          <w:u w:val="single"/>
        </w:rPr>
        <w:t>润富花园二期地块人才公寓26#、28#装修室内家具采购、安装及其伴随服务</w:t>
      </w:r>
    </w:p>
    <w:p w14:paraId="774F57BE">
      <w:r>
        <w:rPr>
          <w:rFonts w:hint="eastAsia"/>
        </w:rPr>
        <w:t>（3）投资规模：</w:t>
      </w:r>
      <w:r>
        <w:rPr>
          <w:rFonts w:hint="eastAsia"/>
          <w:u w:val="single"/>
        </w:rPr>
        <w:t>人才公寓共165套，其中单人间82套、双人间83套</w:t>
      </w:r>
    </w:p>
    <w:p w14:paraId="024EC7DB">
      <w:r>
        <w:rPr>
          <w:rFonts w:hint="eastAsia"/>
        </w:rPr>
        <w:t>（4）预算金额：</w:t>
      </w:r>
      <w:r>
        <w:rPr>
          <w:rFonts w:hint="eastAsia"/>
          <w:u w:val="single"/>
        </w:rPr>
        <w:t>501.16万元</w:t>
      </w:r>
    </w:p>
    <w:p w14:paraId="6B9E7E99">
      <w:pPr>
        <w:rPr>
          <w:u w:val="single"/>
        </w:rPr>
      </w:pPr>
      <w:r>
        <w:rPr>
          <w:rFonts w:hint="eastAsia"/>
        </w:rPr>
        <w:t>（5）最高限价：</w:t>
      </w:r>
      <w:r>
        <w:rPr>
          <w:rFonts w:hint="eastAsia"/>
          <w:u w:val="single"/>
        </w:rPr>
        <w:t>450万元</w:t>
      </w:r>
    </w:p>
    <w:p w14:paraId="6F3CDE9D">
      <w:r>
        <w:rPr>
          <w:rFonts w:hint="eastAsia"/>
        </w:rPr>
        <w:t>（6）采购需求：</w:t>
      </w:r>
      <w:r>
        <w:rPr>
          <w:rFonts w:hint="eastAsia"/>
          <w:u w:val="single"/>
        </w:rPr>
        <w:t>包括但不限于室内家具的方案布置、采购与供货，具体内容详见项目需求</w:t>
      </w:r>
      <w:r>
        <w:rPr>
          <w:rFonts w:hint="eastAsia"/>
        </w:rPr>
        <w:t>。</w:t>
      </w:r>
    </w:p>
    <w:p w14:paraId="3AE68338">
      <w:pPr>
        <w:rPr>
          <w:u w:val="single"/>
        </w:rPr>
      </w:pPr>
      <w:r>
        <w:rPr>
          <w:rFonts w:hint="eastAsia"/>
        </w:rPr>
        <w:t>（7）质量要求及验收标准：</w:t>
      </w:r>
      <w:r>
        <w:rPr>
          <w:rFonts w:hint="eastAsia"/>
          <w:u w:val="single"/>
        </w:rPr>
        <w:t>合格</w:t>
      </w:r>
    </w:p>
    <w:p w14:paraId="00A606C7">
      <w:r>
        <w:rPr>
          <w:rFonts w:hint="eastAsia"/>
        </w:rPr>
        <w:t>（8）供货期：</w:t>
      </w:r>
      <w:r>
        <w:rPr>
          <w:rFonts w:hint="eastAsia"/>
          <w:u w:val="single"/>
        </w:rPr>
        <w:t>合同签订后</w:t>
      </w:r>
      <w:r>
        <w:rPr>
          <w:u w:val="single"/>
        </w:rPr>
        <w:t>45</w:t>
      </w:r>
      <w:r>
        <w:rPr>
          <w:rFonts w:hint="eastAsia"/>
          <w:u w:val="single"/>
        </w:rPr>
        <w:t>日历天完成采购、安装及调试并经验收合格</w:t>
      </w:r>
      <w:r>
        <w:rPr>
          <w:rFonts w:hint="eastAsia"/>
        </w:rPr>
        <w:t>。</w:t>
      </w:r>
    </w:p>
    <w:p w14:paraId="00D127D3">
      <w:r>
        <w:rPr>
          <w:rFonts w:hint="eastAsia"/>
        </w:rPr>
        <w:t>二、</w:t>
      </w:r>
      <w:r>
        <w:t>投标</w:t>
      </w:r>
      <w:r>
        <w:rPr>
          <w:rFonts w:hint="eastAsia"/>
        </w:rPr>
        <w:t>申请人的资格要求：</w:t>
      </w:r>
    </w:p>
    <w:p w14:paraId="5F4B3190">
      <w:pPr>
        <w:spacing w:line="480" w:lineRule="exact"/>
        <w:rPr>
          <w:rFonts w:ascii="宋体" w:hAnsi="宋体" w:cs="宋体"/>
        </w:rPr>
      </w:pPr>
      <w:r>
        <w:rPr>
          <w:rFonts w:hint="eastAsia" w:ascii="宋体" w:hAnsi="宋体" w:cs="宋体"/>
        </w:rPr>
        <w:t>1、投标人应具备《中华人民共和国政府采购法》第二十二条规定的条件。</w:t>
      </w:r>
    </w:p>
    <w:p w14:paraId="004CA22D">
      <w:pPr>
        <w:spacing w:line="480" w:lineRule="exact"/>
        <w:rPr>
          <w:rFonts w:ascii="宋体" w:hAnsi="宋体" w:cs="宋体"/>
        </w:rPr>
      </w:pPr>
      <w:r>
        <w:rPr>
          <w:rFonts w:hint="eastAsia" w:ascii="宋体" w:hAnsi="宋体" w:cs="宋体"/>
        </w:rPr>
        <w:t>2、投标人须为独立法人企业（投标时提供相应在有效期内的营业执照副本）。</w:t>
      </w:r>
    </w:p>
    <w:p w14:paraId="0347A286">
      <w:pPr>
        <w:spacing w:line="480" w:lineRule="exact"/>
        <w:rPr>
          <w:rFonts w:ascii="宋体" w:hAnsi="宋体" w:cs="宋体"/>
        </w:rPr>
      </w:pPr>
      <w:r>
        <w:rPr>
          <w:rFonts w:hint="eastAsia" w:ascii="宋体" w:hAnsi="宋体" w:cs="宋体"/>
        </w:rPr>
        <w:t>3、被"信用中国"网站（www.creditchina.gov.cn）、"中国政府采购网"(www.ccgp.gov.cn) 网站列入失信被执行人、重大税收违法案件当事人名单、政府采购严重违法失信行为记录名单的不得参加本项目采购活动；</w:t>
      </w:r>
    </w:p>
    <w:p w14:paraId="47A2EB17">
      <w:pPr>
        <w:spacing w:line="480" w:lineRule="exact"/>
        <w:rPr>
          <w:rFonts w:ascii="宋体" w:hAnsi="宋体" w:cs="宋体"/>
        </w:rPr>
      </w:pPr>
      <w:r>
        <w:rPr>
          <w:rFonts w:hint="eastAsia" w:ascii="宋体" w:hAnsi="宋体" w:cs="宋体"/>
        </w:rPr>
        <w:t>4、单位负责人为同一人或者存在直接控股、管理关系的不同供应商，不得同时参加本项目采购活动；</w:t>
      </w:r>
    </w:p>
    <w:p w14:paraId="42C86D90">
      <w:r>
        <w:rPr>
          <w:rFonts w:hint="eastAsia"/>
        </w:rPr>
        <w:t>5、本项目的特定资格要求：无</w:t>
      </w:r>
    </w:p>
    <w:p w14:paraId="6410A475">
      <w:r>
        <w:rPr>
          <w:rFonts w:hint="eastAsia"/>
        </w:rPr>
        <w:t>6、本项目不接受联合体投标。</w:t>
      </w:r>
    </w:p>
    <w:p w14:paraId="6B84979F">
      <w:r>
        <w:rPr>
          <w:rFonts w:hint="eastAsia"/>
        </w:rPr>
        <w:t>三、获取招标文件</w:t>
      </w:r>
    </w:p>
    <w:p w14:paraId="1C646B87">
      <w:r>
        <w:rPr>
          <w:rFonts w:hint="eastAsia"/>
        </w:rPr>
        <w:t>1、请各投标申请人于</w:t>
      </w:r>
      <w:r>
        <w:rPr>
          <w:rFonts w:hint="eastAsia"/>
          <w:u w:val="single"/>
        </w:rPr>
        <w:t>2025</w:t>
      </w:r>
      <w:r>
        <w:rPr>
          <w:u w:val="single"/>
        </w:rPr>
        <w:t xml:space="preserve"> </w:t>
      </w:r>
      <w:r>
        <w:rPr>
          <w:rFonts w:hint="eastAsia"/>
        </w:rPr>
        <w:t>年</w:t>
      </w:r>
      <w:r>
        <w:rPr>
          <w:u w:val="single"/>
        </w:rPr>
        <w:t xml:space="preserve"> </w:t>
      </w:r>
      <w:r>
        <w:rPr>
          <w:rFonts w:hint="eastAsia"/>
          <w:u w:val="single"/>
          <w:lang w:val="en-US" w:eastAsia="zh-CN"/>
        </w:rPr>
        <w:t xml:space="preserve">3 </w:t>
      </w:r>
      <w:r>
        <w:rPr>
          <w:rFonts w:hint="eastAsia"/>
        </w:rPr>
        <w:t>月</w:t>
      </w:r>
      <w:r>
        <w:rPr>
          <w:u w:val="single"/>
        </w:rPr>
        <w:t xml:space="preserve"> </w:t>
      </w:r>
      <w:r>
        <w:rPr>
          <w:rFonts w:hint="eastAsia"/>
          <w:u w:val="single"/>
          <w:lang w:val="en-US" w:eastAsia="zh-CN"/>
        </w:rPr>
        <w:t>7</w:t>
      </w:r>
      <w:r>
        <w:rPr>
          <w:u w:val="single"/>
        </w:rPr>
        <w:t xml:space="preserve"> </w:t>
      </w:r>
      <w:r>
        <w:rPr>
          <w:rFonts w:hint="eastAsia"/>
        </w:rPr>
        <w:t>日至</w:t>
      </w:r>
      <w:r>
        <w:rPr>
          <w:rFonts w:hint="eastAsia"/>
          <w:u w:val="single"/>
        </w:rPr>
        <w:t>202</w:t>
      </w:r>
      <w:r>
        <w:rPr>
          <w:u w:val="single"/>
        </w:rPr>
        <w:t>5</w:t>
      </w:r>
      <w:r>
        <w:rPr>
          <w:rFonts w:hint="eastAsia"/>
        </w:rPr>
        <w:t>年</w:t>
      </w:r>
      <w:r>
        <w:rPr>
          <w:u w:val="single"/>
        </w:rPr>
        <w:t xml:space="preserve"> </w:t>
      </w:r>
      <w:r>
        <w:rPr>
          <w:rFonts w:hint="eastAsia"/>
          <w:u w:val="single"/>
          <w:lang w:val="en-US" w:eastAsia="zh-CN"/>
        </w:rPr>
        <w:t xml:space="preserve">3 </w:t>
      </w:r>
      <w:r>
        <w:rPr>
          <w:rFonts w:hint="eastAsia"/>
        </w:rPr>
        <w:t>月</w:t>
      </w:r>
      <w:r>
        <w:rPr>
          <w:u w:val="single"/>
        </w:rPr>
        <w:t xml:space="preserve"> </w:t>
      </w:r>
      <w:r>
        <w:rPr>
          <w:rFonts w:hint="eastAsia"/>
          <w:u w:val="single"/>
          <w:lang w:val="en-US" w:eastAsia="zh-CN"/>
        </w:rPr>
        <w:t xml:space="preserve">13 </w:t>
      </w:r>
      <w:r>
        <w:rPr>
          <w:rFonts w:hint="eastAsia"/>
        </w:rPr>
        <w:t>日登入“新点电子交易平台-大丰政府采购系统”（网址：https://www.etrading.cn/BREpointSSO/login/oauth2login）下载招标文件，如在规定时间内未下载招标文件，由此引起的无法投标等情形的，责任自负。</w:t>
      </w:r>
    </w:p>
    <w:p w14:paraId="169F392A">
      <w:r>
        <w:rPr>
          <w:rFonts w:hint="eastAsia"/>
        </w:rPr>
        <w:t>2、招标文件获取方式：各潜在投标人（供应商）使用“CA数字证书（CA锁）”或“账号密码”登录“新点电子交易平台-大丰政府采购系统（网址：https://www.etrading.cn/BREpointSSO/login/oauth2login）”获取。办理CA数字证书（CA锁）以及电子签章相关事宜见（http://dfggzy.com/dfweb/infodetail/?infoid=9c34520d-979a-4630-a939-9b3fbd2253db&amp;categoryNum=029）”。</w:t>
      </w:r>
    </w:p>
    <w:p w14:paraId="485D2E13">
      <w:r>
        <w:rPr>
          <w:rFonts w:hint="eastAsia"/>
        </w:rPr>
        <w:t>3、招标文件售价：免费。</w:t>
      </w:r>
    </w:p>
    <w:p w14:paraId="66403E67">
      <w:pPr>
        <w:rPr>
          <w:u w:val="single"/>
        </w:rPr>
      </w:pPr>
      <w:r>
        <w:rPr>
          <w:rFonts w:hint="eastAsia"/>
        </w:rPr>
        <w:t>4、各潜在投标人（供应商）可登录大丰公共资源电子交易平台-点击查看“招投标常见问题”-点击“【投标人】怎么参与大丰政府采购全程电子化项目（http://dfggzy.com/dfweb/infodetail/?infoid=9c34520d-979a-4630-a939-9b3fbd2253db&amp;categoryNum=029）”，或者工作时间拨打4009280095-5，或者加入QQ群（问题解决群）：384422310，或者工作时间拨打招标代理电话：</w:t>
      </w:r>
      <w:r>
        <w:rPr>
          <w:rFonts w:hint="eastAsia"/>
          <w:u w:val="single"/>
        </w:rPr>
        <w:t>13851337203。</w:t>
      </w:r>
    </w:p>
    <w:p w14:paraId="3317FC42">
      <w:r>
        <w:rPr>
          <w:rFonts w:hint="eastAsia"/>
        </w:rPr>
        <w:t>四、提交投标文件截止时间、开标时间、地点</w:t>
      </w:r>
    </w:p>
    <w:p w14:paraId="0882A535">
      <w:r>
        <w:rPr>
          <w:rFonts w:hint="eastAsia"/>
        </w:rPr>
        <w:t>1、提交投标文件截止时间：</w:t>
      </w:r>
      <w:r>
        <w:rPr>
          <w:rFonts w:hint="eastAsia"/>
          <w:u w:val="single"/>
        </w:rPr>
        <w:t>202</w:t>
      </w:r>
      <w:r>
        <w:rPr>
          <w:u w:val="single"/>
        </w:rPr>
        <w:t>5</w:t>
      </w:r>
      <w:r>
        <w:rPr>
          <w:rFonts w:hint="eastAsia"/>
        </w:rPr>
        <w:t>年</w:t>
      </w:r>
      <w:r>
        <w:rPr>
          <w:u w:val="single"/>
        </w:rPr>
        <w:t xml:space="preserve"> </w:t>
      </w:r>
      <w:r>
        <w:rPr>
          <w:rFonts w:hint="eastAsia"/>
          <w:u w:val="single"/>
          <w:lang w:val="en-US" w:eastAsia="zh-CN"/>
        </w:rPr>
        <w:t xml:space="preserve">3 </w:t>
      </w:r>
      <w:r>
        <w:rPr>
          <w:rFonts w:hint="eastAsia"/>
        </w:rPr>
        <w:t>月</w:t>
      </w:r>
      <w:r>
        <w:rPr>
          <w:u w:val="single"/>
        </w:rPr>
        <w:t xml:space="preserve"> </w:t>
      </w:r>
      <w:r>
        <w:rPr>
          <w:rFonts w:hint="eastAsia"/>
          <w:u w:val="single"/>
          <w:lang w:val="en-US" w:eastAsia="zh-CN"/>
        </w:rPr>
        <w:t>27</w:t>
      </w:r>
      <w:r>
        <w:rPr>
          <w:u w:val="single"/>
        </w:rPr>
        <w:t xml:space="preserve"> </w:t>
      </w:r>
      <w:r>
        <w:rPr>
          <w:rFonts w:hint="eastAsia"/>
        </w:rPr>
        <w:t>日</w:t>
      </w:r>
      <w:r>
        <w:rPr>
          <w:rFonts w:hint="eastAsia"/>
          <w:u w:val="single"/>
        </w:rPr>
        <w:t>0</w:t>
      </w:r>
      <w:r>
        <w:rPr>
          <w:rFonts w:hint="eastAsia"/>
          <w:u w:val="single"/>
          <w:lang w:val="en-US" w:eastAsia="zh-CN"/>
        </w:rPr>
        <w:t>9</w:t>
      </w:r>
      <w:r>
        <w:rPr>
          <w:rFonts w:hint="eastAsia"/>
        </w:rPr>
        <w:t>时</w:t>
      </w:r>
      <w:r>
        <w:rPr>
          <w:rFonts w:hint="eastAsia"/>
          <w:u w:val="single"/>
        </w:rPr>
        <w:t>00</w:t>
      </w:r>
      <w:r>
        <w:rPr>
          <w:rFonts w:hint="eastAsia"/>
        </w:rPr>
        <w:t>分</w:t>
      </w:r>
      <w:r>
        <w:rPr>
          <w:rFonts w:hint="eastAsia"/>
          <w:u w:val="single"/>
        </w:rPr>
        <w:t>00</w:t>
      </w:r>
      <w:r>
        <w:rPr>
          <w:rFonts w:hint="eastAsia"/>
        </w:rPr>
        <w:t>秒。</w:t>
      </w:r>
    </w:p>
    <w:p w14:paraId="080AD292">
      <w:pPr>
        <w:rPr>
          <w:u w:val="single"/>
        </w:rPr>
      </w:pPr>
      <w:r>
        <w:rPr>
          <w:rFonts w:hint="eastAsia"/>
        </w:rPr>
        <w:t>2、提交投标文件的地点：“投标文件制作工具”生成的xetf格式的电子档上传至新点电子交易平台-大丰政府采购系统（网址：https://www.etrading.cn/BREpointSSO/login/oauth2login）。</w:t>
      </w:r>
    </w:p>
    <w:p w14:paraId="6C351366">
      <w:r>
        <w:rPr>
          <w:rFonts w:hint="eastAsia"/>
        </w:rPr>
        <w:t>3、逾期提交的投标文件将被拒收并退回。</w:t>
      </w:r>
    </w:p>
    <w:p w14:paraId="02F88A30">
      <w:r>
        <w:rPr>
          <w:rFonts w:hint="eastAsia"/>
        </w:rPr>
        <w:t>4、开标时间：投标文件提交截止时间。</w:t>
      </w:r>
    </w:p>
    <w:p w14:paraId="0B9E7BD8">
      <w:pPr>
        <w:rPr>
          <w:b/>
          <w:bCs/>
        </w:rPr>
      </w:pPr>
      <w:r>
        <w:rPr>
          <w:rFonts w:hint="eastAsia"/>
        </w:rPr>
        <w:t>5、开标地点：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网址为http://js.etrading.cn/EpointBidOpening/bidopeninghallaction/hall/login。投标人未按时完成投标文件解密或解密未成功的，均被视为投标人放弃本次投标（无效投标）。解密完成后投标人可自行决定是否继续参加开（唱）标会议，投标人未参加开标的，视同认可开标结果。</w:t>
      </w:r>
    </w:p>
    <w:p w14:paraId="54DD400E">
      <w:r>
        <w:rPr>
          <w:rFonts w:hint="eastAsia"/>
        </w:rPr>
        <w:t>五、公告期限</w:t>
      </w:r>
    </w:p>
    <w:p w14:paraId="41A7067C">
      <w:pPr>
        <w:rPr>
          <w:b/>
          <w:bCs/>
        </w:rPr>
      </w:pPr>
      <w:r>
        <w:rPr>
          <w:rFonts w:hint="eastAsia"/>
        </w:rPr>
        <w:t>自本公告发布之日起5个工作日。</w:t>
      </w:r>
    </w:p>
    <w:bookmarkEnd w:id="10"/>
    <w:bookmarkEnd w:id="11"/>
    <w:bookmarkEnd w:id="12"/>
    <w:bookmarkEnd w:id="13"/>
    <w:bookmarkEnd w:id="14"/>
    <w:p w14:paraId="3E7441A3">
      <w:bookmarkStart w:id="18" w:name="_Toc363326679"/>
      <w:bookmarkStart w:id="19" w:name="_Toc369077558"/>
      <w:bookmarkStart w:id="20" w:name="_Toc6770"/>
      <w:bookmarkStart w:id="21" w:name="_Toc397928547"/>
      <w:bookmarkStart w:id="22" w:name="_Toc368759512"/>
      <w:bookmarkStart w:id="23" w:name="_Toc387526281"/>
      <w:bookmarkStart w:id="24" w:name="_Toc184635069"/>
      <w:bookmarkStart w:id="25" w:name="_Toc387526373"/>
      <w:bookmarkStart w:id="26" w:name="_Toc387526177"/>
      <w:r>
        <w:rPr>
          <w:rFonts w:hint="eastAsia"/>
        </w:rPr>
        <w:t>六、其他补充事宜</w:t>
      </w:r>
    </w:p>
    <w:p w14:paraId="7CA0C359">
      <w:r>
        <w:rPr>
          <w:rFonts w:hint="eastAsia"/>
        </w:rPr>
        <w:t>1、本招标项目采用的评标方法：综合评分法。</w:t>
      </w:r>
    </w:p>
    <w:p w14:paraId="746B21F6">
      <w:r>
        <w:rPr>
          <w:rFonts w:hint="eastAsia"/>
        </w:rPr>
        <w:t>2、本招标项目招标公告发布媒介：大丰公共资源电子交易平台（http://ggzy.dafeng.gov.cn/dfweb/）。</w:t>
      </w:r>
    </w:p>
    <w:p w14:paraId="0F966B95">
      <w:r>
        <w:rPr>
          <w:rFonts w:hint="eastAsia"/>
        </w:rPr>
        <w:t>3、投标前请关注“大丰公共资源电子交易平台”的“政府采购”—“答疑补充”栏目。及时了解到项目的“答疑补充”等情况。</w:t>
      </w:r>
    </w:p>
    <w:p w14:paraId="5CE2429C">
      <w:pPr>
        <w:rPr>
          <w:b/>
          <w:bCs/>
        </w:rPr>
      </w:pPr>
      <w:r>
        <w:rPr>
          <w:rFonts w:hint="eastAsia"/>
        </w:rPr>
        <w:t>4、本项目采用全程电子化及不见面开标模式。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投标人未按时完成投标文件解密或解密未成功的，均被视为投标人放弃本次投标（无效投标）。因投标人自身设备故障或自身原因导致无法完成投标的，对其形成的不利后果及责任由投标人自行承担。解密完成后，投标人可自行决定是否继续参加开（唱）标会议，投标人未参加开标的，视同认可开标结果。</w:t>
      </w:r>
    </w:p>
    <w:p w14:paraId="4D9D93C5">
      <w:r>
        <w:rPr>
          <w:rFonts w:hint="eastAsia"/>
        </w:rPr>
        <w:t>5、开标大厅系统网址为：http://js.etrading.cn/EpointBidOpening/bidopeninghallaction/hall/login。</w:t>
      </w:r>
    </w:p>
    <w:p w14:paraId="686325F2">
      <w:r>
        <w:rPr>
          <w:rFonts w:hint="eastAsia"/>
        </w:rPr>
        <w:t>七、投标保证金</w:t>
      </w:r>
    </w:p>
    <w:p w14:paraId="2ADC9A50">
      <w:pPr>
        <w:rPr>
          <w:b/>
          <w:bCs/>
        </w:rPr>
      </w:pPr>
      <w:r>
        <w:rPr>
          <w:rFonts w:hint="eastAsia"/>
        </w:rPr>
        <w:t>参照执行苏财购[2020]52号文《关于做好政府采购支持企业发展有关事项的通知》，本项目不需要缴纳投标保证金。</w:t>
      </w:r>
    </w:p>
    <w:p w14:paraId="0932D90A">
      <w:r>
        <w:rPr>
          <w:rFonts w:hint="eastAsia"/>
        </w:rPr>
        <w:t>八、投标人在诚信库中录入的所有信息均应合法真实有效，并应在投标文件提交截止时间前完成诚信库信息的及时更新、完善，采购人或评标委员会将按照投标文件提交截止时间前的现状信息予以审查或评审，如投标人未及时更新和完善的，对其形成不利的后果及责任由投标人自行承担。投标人录入诚信库提交的信息如有虚假或其他违法违规情形的，将有可能面临被列为失信行为的风险并承担相应的法律责任。</w:t>
      </w:r>
    </w:p>
    <w:p w14:paraId="71686FF3">
      <w:r>
        <w:rPr>
          <w:rFonts w:hint="eastAsia"/>
        </w:rPr>
        <w:t>九、对本次招标提出询问，请按以下方式联系。</w:t>
      </w:r>
    </w:p>
    <w:bookmarkEnd w:id="15"/>
    <w:bookmarkEnd w:id="16"/>
    <w:bookmarkEnd w:id="17"/>
    <w:p w14:paraId="418C0256">
      <w:pPr>
        <w:rPr>
          <w:lang w:val="zh-CN"/>
        </w:rPr>
      </w:pPr>
      <w:bookmarkStart w:id="27" w:name="_Toc508216878"/>
      <w:r>
        <w:rPr>
          <w:rFonts w:hint="eastAsia"/>
          <w:lang w:val="zh-CN"/>
        </w:rPr>
        <w:t>招 标 人：盐城市大丰区振城建设有限公司</w:t>
      </w:r>
    </w:p>
    <w:p w14:paraId="187F1CFA">
      <w:r>
        <w:rPr>
          <w:rFonts w:hint="eastAsia"/>
          <w:lang w:val="zh-CN"/>
        </w:rPr>
        <w:t>联 系 人：</w:t>
      </w:r>
      <w:r>
        <w:rPr>
          <w:rFonts w:hint="eastAsia"/>
        </w:rPr>
        <w:t>骆义</w:t>
      </w:r>
    </w:p>
    <w:p w14:paraId="3753A541">
      <w:r>
        <w:rPr>
          <w:rFonts w:hint="eastAsia"/>
          <w:lang w:val="zh-CN"/>
        </w:rPr>
        <w:t>联系电话：</w:t>
      </w:r>
      <w:r>
        <w:rPr>
          <w:lang w:val="zh-CN"/>
        </w:rPr>
        <w:t xml:space="preserve"> </w:t>
      </w:r>
      <w:r>
        <w:rPr>
          <w:rFonts w:hint="eastAsia"/>
          <w:lang w:val="zh-CN"/>
        </w:rPr>
        <w:t xml:space="preserve">0515-69188980 </w:t>
      </w:r>
    </w:p>
    <w:p w14:paraId="3FCE5387">
      <w:r>
        <w:rPr>
          <w:rFonts w:hint="eastAsia"/>
          <w:lang w:val="zh-CN"/>
        </w:rPr>
        <w:t>联系地址：盐城市大丰区飞达东路7号</w:t>
      </w:r>
    </w:p>
    <w:p w14:paraId="3685CCD9">
      <w:pPr>
        <w:rPr>
          <w:lang w:val="zh-CN"/>
        </w:rPr>
      </w:pPr>
      <w:r>
        <w:rPr>
          <w:rFonts w:hint="eastAsia"/>
          <w:lang w:val="zh-CN"/>
        </w:rPr>
        <w:t>招标代理</w:t>
      </w:r>
      <w:r>
        <w:t>机构</w:t>
      </w:r>
      <w:r>
        <w:rPr>
          <w:rFonts w:hint="eastAsia"/>
          <w:lang w:val="zh-CN"/>
        </w:rPr>
        <w:t>：</w:t>
      </w:r>
      <w:r>
        <w:rPr>
          <w:rFonts w:hint="eastAsia"/>
        </w:rPr>
        <w:t>江苏双清工程造价咨询有限公司</w:t>
      </w:r>
    </w:p>
    <w:p w14:paraId="68AEAE55">
      <w:r>
        <w:rPr>
          <w:rFonts w:hint="eastAsia"/>
          <w:lang w:val="zh-CN"/>
        </w:rPr>
        <w:t>联 系 人：</w:t>
      </w:r>
      <w:r>
        <w:rPr>
          <w:rFonts w:hint="eastAsia"/>
        </w:rPr>
        <w:t xml:space="preserve">季顺凡 </w:t>
      </w:r>
    </w:p>
    <w:p w14:paraId="5A9A7997">
      <w:pPr>
        <w:rPr>
          <w:lang w:val="zh-CN"/>
        </w:rPr>
      </w:pPr>
      <w:r>
        <w:rPr>
          <w:rFonts w:hint="eastAsia"/>
          <w:lang w:val="zh-CN"/>
        </w:rPr>
        <w:t>联系电话：</w:t>
      </w:r>
      <w:r>
        <w:rPr>
          <w:rFonts w:hint="eastAsia"/>
        </w:rPr>
        <w:t>13851337203</w:t>
      </w:r>
      <w:r>
        <w:rPr>
          <w:lang w:val="zh-CN"/>
        </w:rPr>
        <w:t xml:space="preserve"> </w:t>
      </w:r>
    </w:p>
    <w:p w14:paraId="2EE28F8F">
      <w:r>
        <w:rPr>
          <w:rFonts w:hint="eastAsia"/>
          <w:lang w:val="zh-CN"/>
        </w:rPr>
        <w:t>联系地址：盐城市大丰区五一路与飞达东路交叉路口东北侧(锦和</w:t>
      </w:r>
      <w:r>
        <w:rPr>
          <w:rFonts w:hint="eastAsia"/>
        </w:rPr>
        <w:t>科技</w:t>
      </w:r>
      <w:r>
        <w:rPr>
          <w:rFonts w:hint="eastAsia"/>
          <w:lang w:val="zh-CN"/>
        </w:rPr>
        <w:t>大厦21楼)</w:t>
      </w:r>
    </w:p>
    <w:p w14:paraId="1ABA7E05">
      <w:bookmarkStart w:id="28" w:name="_Toc24510"/>
      <w:r>
        <w:br w:type="page"/>
      </w:r>
    </w:p>
    <w:p w14:paraId="18AE31F3">
      <w:pPr>
        <w:pStyle w:val="4"/>
        <w:ind w:firstLine="883"/>
      </w:pPr>
      <w:r>
        <w:t>第二章  投标人须知</w:t>
      </w:r>
      <w:bookmarkEnd w:id="18"/>
      <w:bookmarkEnd w:id="19"/>
      <w:bookmarkEnd w:id="20"/>
      <w:bookmarkEnd w:id="21"/>
      <w:bookmarkEnd w:id="22"/>
      <w:bookmarkEnd w:id="23"/>
      <w:bookmarkEnd w:id="24"/>
      <w:bookmarkEnd w:id="25"/>
      <w:bookmarkEnd w:id="26"/>
      <w:bookmarkEnd w:id="27"/>
      <w:bookmarkEnd w:id="28"/>
    </w:p>
    <w:p w14:paraId="353DA667">
      <w:pPr>
        <w:pStyle w:val="73"/>
        <w:ind w:firstLine="643"/>
        <w:jc w:val="center"/>
      </w:pPr>
      <w:bookmarkStart w:id="29" w:name="_Toc387526374"/>
      <w:bookmarkStart w:id="30" w:name="_Toc369077559"/>
      <w:bookmarkStart w:id="31" w:name="_Toc387526178"/>
      <w:bookmarkStart w:id="32" w:name="_Toc397928548"/>
      <w:bookmarkStart w:id="33" w:name="_Toc387526282"/>
      <w:bookmarkStart w:id="34" w:name="_Toc508216879"/>
      <w:bookmarkStart w:id="35" w:name="_Toc16205"/>
      <w:r>
        <w:t>投标人须知前附表</w:t>
      </w:r>
      <w:bookmarkEnd w:id="29"/>
      <w:bookmarkEnd w:id="30"/>
      <w:bookmarkEnd w:id="31"/>
      <w:bookmarkEnd w:id="32"/>
      <w:bookmarkEnd w:id="33"/>
      <w:bookmarkEnd w:id="34"/>
      <w:bookmarkEnd w:id="35"/>
    </w:p>
    <w:tbl>
      <w:tblPr>
        <w:tblStyle w:val="49"/>
        <w:tblW w:w="49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2631"/>
        <w:gridCol w:w="6136"/>
      </w:tblGrid>
      <w:tr w14:paraId="319A2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06E5815D">
            <w:pPr>
              <w:ind w:firstLine="0" w:firstLineChars="0"/>
              <w:jc w:val="center"/>
            </w:pPr>
            <w:r>
              <w:rPr>
                <w:rFonts w:hint="eastAsia"/>
              </w:rPr>
              <w:t>条款号</w:t>
            </w:r>
          </w:p>
        </w:tc>
        <w:tc>
          <w:tcPr>
            <w:tcW w:w="2630" w:type="dxa"/>
            <w:vAlign w:val="center"/>
          </w:tcPr>
          <w:p w14:paraId="445CD8EE">
            <w:r>
              <w:rPr>
                <w:rFonts w:hint="eastAsia"/>
              </w:rPr>
              <w:t>条 款 名 称</w:t>
            </w:r>
          </w:p>
        </w:tc>
        <w:tc>
          <w:tcPr>
            <w:tcW w:w="6143" w:type="dxa"/>
            <w:vAlign w:val="center"/>
          </w:tcPr>
          <w:p w14:paraId="5F9D0568">
            <w:pPr>
              <w:ind w:firstLine="0" w:firstLineChars="0"/>
            </w:pPr>
            <w:r>
              <w:rPr>
                <w:rFonts w:hint="eastAsia"/>
              </w:rPr>
              <w:t>编 列 内 容</w:t>
            </w:r>
          </w:p>
        </w:tc>
      </w:tr>
      <w:tr w14:paraId="53A8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6EAB9A9">
            <w:pPr>
              <w:ind w:firstLine="0" w:firstLineChars="0"/>
              <w:jc w:val="center"/>
            </w:pPr>
            <w:r>
              <w:rPr>
                <w:rFonts w:hint="eastAsia"/>
              </w:rPr>
              <w:t>1.1.2</w:t>
            </w:r>
          </w:p>
        </w:tc>
        <w:tc>
          <w:tcPr>
            <w:tcW w:w="2630" w:type="dxa"/>
            <w:vAlign w:val="center"/>
          </w:tcPr>
          <w:p w14:paraId="64EB6FCD">
            <w:r>
              <w:rPr>
                <w:rFonts w:hint="eastAsia"/>
              </w:rPr>
              <w:t>招标人</w:t>
            </w:r>
          </w:p>
        </w:tc>
        <w:tc>
          <w:tcPr>
            <w:tcW w:w="6143" w:type="dxa"/>
            <w:vAlign w:val="center"/>
          </w:tcPr>
          <w:p w14:paraId="2C26FFCB">
            <w:pPr>
              <w:ind w:firstLine="0" w:firstLineChars="0"/>
            </w:pPr>
            <w:r>
              <w:rPr>
                <w:rFonts w:hint="eastAsia"/>
              </w:rPr>
              <w:t>盐城市大丰区振城建设有限公司</w:t>
            </w:r>
          </w:p>
        </w:tc>
      </w:tr>
      <w:tr w14:paraId="23152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FB9A47E">
            <w:pPr>
              <w:ind w:firstLine="0" w:firstLineChars="0"/>
              <w:jc w:val="center"/>
            </w:pPr>
            <w:r>
              <w:rPr>
                <w:rFonts w:hint="eastAsia"/>
              </w:rPr>
              <w:t>1.1.3</w:t>
            </w:r>
          </w:p>
        </w:tc>
        <w:tc>
          <w:tcPr>
            <w:tcW w:w="2630" w:type="dxa"/>
            <w:vAlign w:val="center"/>
          </w:tcPr>
          <w:p w14:paraId="5E488842">
            <w:r>
              <w:rPr>
                <w:rFonts w:hint="eastAsia"/>
              </w:rPr>
              <w:t>招标代理机构</w:t>
            </w:r>
          </w:p>
        </w:tc>
        <w:tc>
          <w:tcPr>
            <w:tcW w:w="6143" w:type="dxa"/>
            <w:vAlign w:val="center"/>
          </w:tcPr>
          <w:p w14:paraId="317DCA89">
            <w:pPr>
              <w:ind w:firstLine="0" w:firstLineChars="0"/>
            </w:pPr>
            <w:r>
              <w:rPr>
                <w:rFonts w:hint="eastAsia"/>
              </w:rPr>
              <w:t>江苏双清工程造价咨询有限公司</w:t>
            </w:r>
          </w:p>
        </w:tc>
      </w:tr>
      <w:tr w14:paraId="0DEFA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D3665B5">
            <w:pPr>
              <w:ind w:firstLine="0" w:firstLineChars="0"/>
              <w:jc w:val="center"/>
            </w:pPr>
            <w:r>
              <w:rPr>
                <w:rFonts w:hint="eastAsia"/>
              </w:rPr>
              <w:t>1.1.4</w:t>
            </w:r>
          </w:p>
        </w:tc>
        <w:tc>
          <w:tcPr>
            <w:tcW w:w="2630" w:type="dxa"/>
            <w:vAlign w:val="center"/>
          </w:tcPr>
          <w:p w14:paraId="41A51F37">
            <w:r>
              <w:rPr>
                <w:rFonts w:hint="eastAsia"/>
              </w:rPr>
              <w:t>项目名称</w:t>
            </w:r>
          </w:p>
        </w:tc>
        <w:tc>
          <w:tcPr>
            <w:tcW w:w="6143" w:type="dxa"/>
            <w:vAlign w:val="center"/>
          </w:tcPr>
          <w:p w14:paraId="411A064C">
            <w:pPr>
              <w:ind w:firstLine="0" w:firstLineChars="0"/>
            </w:pPr>
            <w:r>
              <w:rPr>
                <w:rFonts w:hint="eastAsia"/>
              </w:rPr>
              <w:t>润富花园二期地块人才公寓26#、28#装修室内家具采购、安装及其伴随服务</w:t>
            </w:r>
          </w:p>
        </w:tc>
      </w:tr>
      <w:tr w14:paraId="3A86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2750231">
            <w:pPr>
              <w:ind w:firstLine="0" w:firstLineChars="0"/>
              <w:jc w:val="center"/>
            </w:pPr>
            <w:r>
              <w:rPr>
                <w:rFonts w:hint="eastAsia"/>
              </w:rPr>
              <w:t>1.2.1</w:t>
            </w:r>
          </w:p>
        </w:tc>
        <w:tc>
          <w:tcPr>
            <w:tcW w:w="2630" w:type="dxa"/>
            <w:vAlign w:val="center"/>
          </w:tcPr>
          <w:p w14:paraId="46633DF9">
            <w:r>
              <w:rPr>
                <w:rFonts w:hint="eastAsia"/>
              </w:rPr>
              <w:t>资金来源</w:t>
            </w:r>
          </w:p>
        </w:tc>
        <w:tc>
          <w:tcPr>
            <w:tcW w:w="6143" w:type="dxa"/>
            <w:vAlign w:val="center"/>
          </w:tcPr>
          <w:p w14:paraId="4B9BE246">
            <w:pPr>
              <w:ind w:firstLine="0" w:firstLineChars="0"/>
            </w:pPr>
            <w:r>
              <w:rPr>
                <w:rFonts w:hint="eastAsia"/>
              </w:rPr>
              <w:t>自筹</w:t>
            </w:r>
          </w:p>
        </w:tc>
      </w:tr>
      <w:tr w14:paraId="0F7D6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D90E0B9">
            <w:pPr>
              <w:ind w:firstLine="0" w:firstLineChars="0"/>
              <w:jc w:val="center"/>
            </w:pPr>
            <w:r>
              <w:rPr>
                <w:rFonts w:hint="eastAsia"/>
              </w:rPr>
              <w:t>1.2.2</w:t>
            </w:r>
          </w:p>
        </w:tc>
        <w:tc>
          <w:tcPr>
            <w:tcW w:w="2630" w:type="dxa"/>
            <w:vAlign w:val="center"/>
          </w:tcPr>
          <w:p w14:paraId="682DE78C">
            <w:r>
              <w:rPr>
                <w:rFonts w:hint="eastAsia"/>
              </w:rPr>
              <w:t>出资比例</w:t>
            </w:r>
          </w:p>
        </w:tc>
        <w:tc>
          <w:tcPr>
            <w:tcW w:w="6143" w:type="dxa"/>
            <w:vAlign w:val="center"/>
          </w:tcPr>
          <w:p w14:paraId="15803EF7">
            <w:pPr>
              <w:ind w:firstLine="0" w:firstLineChars="0"/>
            </w:pPr>
            <w:r>
              <w:rPr>
                <w:rFonts w:hint="eastAsia"/>
              </w:rPr>
              <w:t>100%</w:t>
            </w:r>
          </w:p>
        </w:tc>
      </w:tr>
      <w:tr w14:paraId="63BE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F7770F7">
            <w:pPr>
              <w:ind w:firstLine="0" w:firstLineChars="0"/>
              <w:jc w:val="center"/>
            </w:pPr>
            <w:r>
              <w:rPr>
                <w:rFonts w:hint="eastAsia"/>
              </w:rPr>
              <w:t>1.2.3</w:t>
            </w:r>
          </w:p>
        </w:tc>
        <w:tc>
          <w:tcPr>
            <w:tcW w:w="2630" w:type="dxa"/>
            <w:vAlign w:val="center"/>
          </w:tcPr>
          <w:p w14:paraId="746883F0">
            <w:r>
              <w:rPr>
                <w:rFonts w:hint="eastAsia"/>
              </w:rPr>
              <w:t>资金落实情况</w:t>
            </w:r>
          </w:p>
        </w:tc>
        <w:tc>
          <w:tcPr>
            <w:tcW w:w="6143" w:type="dxa"/>
            <w:vAlign w:val="center"/>
          </w:tcPr>
          <w:p w14:paraId="6AE0D0D2">
            <w:pPr>
              <w:ind w:firstLine="0" w:firstLineChars="0"/>
            </w:pPr>
            <w:r>
              <w:rPr>
                <w:rFonts w:hint="eastAsia"/>
              </w:rPr>
              <w:t>已落实</w:t>
            </w:r>
          </w:p>
        </w:tc>
      </w:tr>
      <w:tr w14:paraId="205B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6F40495">
            <w:pPr>
              <w:ind w:firstLine="0" w:firstLineChars="0"/>
              <w:jc w:val="center"/>
            </w:pPr>
            <w:r>
              <w:rPr>
                <w:rFonts w:hint="eastAsia"/>
              </w:rPr>
              <w:t>1.3.1</w:t>
            </w:r>
          </w:p>
        </w:tc>
        <w:tc>
          <w:tcPr>
            <w:tcW w:w="2630" w:type="dxa"/>
            <w:vAlign w:val="center"/>
          </w:tcPr>
          <w:p w14:paraId="512DDAF1">
            <w:r>
              <w:rPr>
                <w:rFonts w:hint="eastAsia"/>
              </w:rPr>
              <w:t>采购需求</w:t>
            </w:r>
          </w:p>
        </w:tc>
        <w:tc>
          <w:tcPr>
            <w:tcW w:w="6143" w:type="dxa"/>
            <w:vAlign w:val="center"/>
          </w:tcPr>
          <w:p w14:paraId="11302591">
            <w:pPr>
              <w:ind w:firstLine="0" w:firstLineChars="0"/>
            </w:pPr>
            <w:r>
              <w:rPr>
                <w:rFonts w:hint="eastAsia"/>
              </w:rPr>
              <w:t>见招标公告</w:t>
            </w:r>
          </w:p>
        </w:tc>
      </w:tr>
      <w:tr w14:paraId="7E1EC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5249A3C">
            <w:pPr>
              <w:ind w:firstLine="0" w:firstLineChars="0"/>
              <w:jc w:val="center"/>
            </w:pPr>
            <w:r>
              <w:rPr>
                <w:rFonts w:hint="eastAsia"/>
              </w:rPr>
              <w:t>1.3.2</w:t>
            </w:r>
          </w:p>
        </w:tc>
        <w:tc>
          <w:tcPr>
            <w:tcW w:w="2630" w:type="dxa"/>
            <w:vAlign w:val="center"/>
          </w:tcPr>
          <w:p w14:paraId="19F80179">
            <w:r>
              <w:rPr>
                <w:rFonts w:hint="eastAsia"/>
              </w:rPr>
              <w:t>交货时间及地点</w:t>
            </w:r>
          </w:p>
        </w:tc>
        <w:tc>
          <w:tcPr>
            <w:tcW w:w="6143" w:type="dxa"/>
            <w:vAlign w:val="center"/>
          </w:tcPr>
          <w:p w14:paraId="7338BA6E">
            <w:pPr>
              <w:ind w:firstLine="0" w:firstLineChars="0"/>
            </w:pPr>
            <w:r>
              <w:rPr>
                <w:rFonts w:hint="eastAsia"/>
              </w:rPr>
              <w:t>见招标公告</w:t>
            </w:r>
          </w:p>
        </w:tc>
      </w:tr>
      <w:tr w14:paraId="4A452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592351F">
            <w:pPr>
              <w:ind w:firstLine="0" w:firstLineChars="0"/>
              <w:jc w:val="center"/>
            </w:pPr>
            <w:r>
              <w:rPr>
                <w:rFonts w:hint="eastAsia"/>
              </w:rPr>
              <w:t>1.3.3</w:t>
            </w:r>
          </w:p>
        </w:tc>
        <w:tc>
          <w:tcPr>
            <w:tcW w:w="2630" w:type="dxa"/>
            <w:vAlign w:val="center"/>
          </w:tcPr>
          <w:p w14:paraId="1E8A79C2">
            <w:r>
              <w:rPr>
                <w:rFonts w:hint="eastAsia"/>
              </w:rPr>
              <w:t>供货地点</w:t>
            </w:r>
          </w:p>
        </w:tc>
        <w:tc>
          <w:tcPr>
            <w:tcW w:w="6143" w:type="dxa"/>
            <w:vAlign w:val="center"/>
          </w:tcPr>
          <w:p w14:paraId="4D52FD3F">
            <w:pPr>
              <w:ind w:firstLine="0" w:firstLineChars="0"/>
            </w:pPr>
            <w:r>
              <w:rPr>
                <w:rFonts w:hint="eastAsia"/>
              </w:rPr>
              <w:t>招标人指定地点</w:t>
            </w:r>
          </w:p>
        </w:tc>
      </w:tr>
      <w:tr w14:paraId="003A7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9C004E9">
            <w:pPr>
              <w:ind w:firstLine="0" w:firstLineChars="0"/>
              <w:jc w:val="center"/>
            </w:pPr>
            <w:r>
              <w:rPr>
                <w:rFonts w:hint="eastAsia"/>
              </w:rPr>
              <w:t>1.3.4</w:t>
            </w:r>
          </w:p>
        </w:tc>
        <w:tc>
          <w:tcPr>
            <w:tcW w:w="2630" w:type="dxa"/>
            <w:vAlign w:val="center"/>
          </w:tcPr>
          <w:p w14:paraId="4D0A4150">
            <w:r>
              <w:rPr>
                <w:rFonts w:hint="eastAsia"/>
              </w:rPr>
              <w:t>质量要求及验收标准</w:t>
            </w:r>
          </w:p>
        </w:tc>
        <w:tc>
          <w:tcPr>
            <w:tcW w:w="6143" w:type="dxa"/>
            <w:vAlign w:val="center"/>
          </w:tcPr>
          <w:p w14:paraId="5D89E936">
            <w:pPr>
              <w:ind w:firstLine="0" w:firstLineChars="0"/>
            </w:pPr>
            <w:r>
              <w:rPr>
                <w:rFonts w:hint="eastAsia"/>
              </w:rPr>
              <w:t>见招标公告</w:t>
            </w:r>
          </w:p>
        </w:tc>
      </w:tr>
      <w:tr w14:paraId="3870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11489381">
            <w:pPr>
              <w:ind w:firstLine="0" w:firstLineChars="0"/>
              <w:jc w:val="center"/>
            </w:pPr>
            <w:r>
              <w:rPr>
                <w:rFonts w:hint="eastAsia"/>
              </w:rPr>
              <w:t>1.4.1</w:t>
            </w:r>
          </w:p>
        </w:tc>
        <w:tc>
          <w:tcPr>
            <w:tcW w:w="2630" w:type="dxa"/>
            <w:vAlign w:val="center"/>
          </w:tcPr>
          <w:p w14:paraId="4F08383D">
            <w:r>
              <w:rPr>
                <w:rFonts w:hint="eastAsia"/>
              </w:rPr>
              <w:t>投标人资格要求</w:t>
            </w:r>
          </w:p>
        </w:tc>
        <w:tc>
          <w:tcPr>
            <w:tcW w:w="6143" w:type="dxa"/>
            <w:vAlign w:val="center"/>
          </w:tcPr>
          <w:p w14:paraId="66F5DAC5">
            <w:pPr>
              <w:ind w:firstLine="0" w:firstLineChars="0"/>
            </w:pPr>
            <w:r>
              <w:rPr>
                <w:rFonts w:hint="eastAsia"/>
              </w:rPr>
              <w:t>见招标公告</w:t>
            </w:r>
          </w:p>
        </w:tc>
      </w:tr>
      <w:tr w14:paraId="3822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87F90F8">
            <w:pPr>
              <w:ind w:firstLine="0" w:firstLineChars="0"/>
              <w:jc w:val="center"/>
            </w:pPr>
            <w:r>
              <w:rPr>
                <w:rFonts w:hint="eastAsia"/>
              </w:rPr>
              <w:t>1.4.2</w:t>
            </w:r>
          </w:p>
        </w:tc>
        <w:tc>
          <w:tcPr>
            <w:tcW w:w="2630" w:type="dxa"/>
            <w:vAlign w:val="center"/>
          </w:tcPr>
          <w:p w14:paraId="09E89AAD">
            <w:r>
              <w:rPr>
                <w:rFonts w:hint="eastAsia"/>
              </w:rPr>
              <w:t>是否接受联合体投标</w:t>
            </w:r>
          </w:p>
        </w:tc>
        <w:tc>
          <w:tcPr>
            <w:tcW w:w="6143" w:type="dxa"/>
            <w:vAlign w:val="center"/>
          </w:tcPr>
          <w:p w14:paraId="0CF45459">
            <w:pPr>
              <w:ind w:firstLine="0" w:firstLineChars="0"/>
            </w:pPr>
            <w:r>
              <w:rPr>
                <w:rFonts w:hint="eastAsia"/>
              </w:rPr>
              <w:t>见招标公告</w:t>
            </w:r>
          </w:p>
        </w:tc>
      </w:tr>
      <w:tr w14:paraId="3E9C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06D48104">
            <w:pPr>
              <w:ind w:firstLine="0" w:firstLineChars="0"/>
              <w:jc w:val="center"/>
              <w:rPr>
                <w:b/>
              </w:rPr>
            </w:pPr>
            <w:r>
              <w:rPr>
                <w:rFonts w:hint="eastAsia"/>
              </w:rPr>
              <w:t>1.9.1</w:t>
            </w:r>
          </w:p>
        </w:tc>
        <w:tc>
          <w:tcPr>
            <w:tcW w:w="2630" w:type="dxa"/>
            <w:vAlign w:val="center"/>
          </w:tcPr>
          <w:p w14:paraId="0D97B1CF">
            <w:pPr>
              <w:rPr>
                <w:b/>
              </w:rPr>
            </w:pPr>
            <w:r>
              <w:rPr>
                <w:rFonts w:hint="eastAsia"/>
              </w:rPr>
              <w:t>踏勘现场</w:t>
            </w:r>
          </w:p>
        </w:tc>
        <w:tc>
          <w:tcPr>
            <w:tcW w:w="6143" w:type="dxa"/>
            <w:vAlign w:val="center"/>
          </w:tcPr>
          <w:p w14:paraId="21659DE5">
            <w:pPr>
              <w:ind w:firstLine="0" w:firstLineChars="0"/>
              <w:rPr>
                <w:b/>
                <w:u w:val="single"/>
              </w:rPr>
            </w:pPr>
            <w:r>
              <w:rPr>
                <w:rFonts w:hint="eastAsia"/>
              </w:rPr>
              <w:t>投标人自行踏勘现场</w:t>
            </w:r>
          </w:p>
        </w:tc>
      </w:tr>
      <w:tr w14:paraId="3C3E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59665F7">
            <w:pPr>
              <w:ind w:firstLine="0" w:firstLineChars="0"/>
              <w:jc w:val="center"/>
            </w:pPr>
            <w:r>
              <w:rPr>
                <w:rFonts w:hint="eastAsia"/>
              </w:rPr>
              <w:t>1.10</w:t>
            </w:r>
          </w:p>
        </w:tc>
        <w:tc>
          <w:tcPr>
            <w:tcW w:w="2630" w:type="dxa"/>
            <w:vAlign w:val="center"/>
          </w:tcPr>
          <w:p w14:paraId="57D2A409">
            <w:r>
              <w:rPr>
                <w:rFonts w:hint="eastAsia"/>
              </w:rPr>
              <w:t>投标预备会</w:t>
            </w:r>
          </w:p>
        </w:tc>
        <w:tc>
          <w:tcPr>
            <w:tcW w:w="6143" w:type="dxa"/>
            <w:vAlign w:val="center"/>
          </w:tcPr>
          <w:p w14:paraId="20791A4B">
            <w:pPr>
              <w:ind w:firstLine="0" w:firstLineChars="0"/>
            </w:pPr>
            <w:r>
              <w:rPr>
                <w:rFonts w:hint="eastAsia"/>
              </w:rPr>
              <w:sym w:font="Wingdings" w:char="00FE"/>
            </w:r>
            <w:r>
              <w:rPr>
                <w:rFonts w:hint="eastAsia"/>
              </w:rPr>
              <w:t>不召开</w:t>
            </w:r>
          </w:p>
        </w:tc>
      </w:tr>
      <w:tr w14:paraId="184BE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B627405">
            <w:pPr>
              <w:ind w:firstLine="0" w:firstLineChars="0"/>
              <w:jc w:val="center"/>
            </w:pPr>
            <w:r>
              <w:rPr>
                <w:rFonts w:hint="eastAsia"/>
              </w:rPr>
              <w:t>1.11</w:t>
            </w:r>
          </w:p>
        </w:tc>
        <w:tc>
          <w:tcPr>
            <w:tcW w:w="2630" w:type="dxa"/>
            <w:vAlign w:val="center"/>
          </w:tcPr>
          <w:p w14:paraId="0F21F389">
            <w:r>
              <w:rPr>
                <w:rFonts w:hint="eastAsia"/>
              </w:rPr>
              <w:t>偏离</w:t>
            </w:r>
          </w:p>
        </w:tc>
        <w:tc>
          <w:tcPr>
            <w:tcW w:w="6143" w:type="dxa"/>
            <w:vAlign w:val="center"/>
          </w:tcPr>
          <w:p w14:paraId="5EC9DBCC">
            <w:pPr>
              <w:ind w:firstLine="0" w:firstLineChars="0"/>
            </w:pPr>
            <w:r>
              <w:rPr>
                <w:rFonts w:hint="eastAsia"/>
              </w:rPr>
              <w:t>详见招标文件相关条款</w:t>
            </w:r>
          </w:p>
        </w:tc>
      </w:tr>
      <w:tr w14:paraId="1B10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E71C3D2">
            <w:pPr>
              <w:ind w:firstLine="0" w:firstLineChars="0"/>
              <w:jc w:val="center"/>
            </w:pPr>
            <w:r>
              <w:rPr>
                <w:rFonts w:hint="eastAsia"/>
              </w:rPr>
              <w:t>2.1.1</w:t>
            </w:r>
          </w:p>
        </w:tc>
        <w:tc>
          <w:tcPr>
            <w:tcW w:w="2630" w:type="dxa"/>
            <w:vAlign w:val="center"/>
          </w:tcPr>
          <w:p w14:paraId="52805D72">
            <w:r>
              <w:rPr>
                <w:rFonts w:hint="eastAsia"/>
              </w:rPr>
              <w:t>构成招标文件的其它材料</w:t>
            </w:r>
          </w:p>
        </w:tc>
        <w:tc>
          <w:tcPr>
            <w:tcW w:w="6143" w:type="dxa"/>
            <w:vAlign w:val="center"/>
          </w:tcPr>
          <w:p w14:paraId="785B06CF">
            <w:pPr>
              <w:ind w:firstLine="0" w:firstLineChars="0"/>
            </w:pPr>
            <w:r>
              <w:rPr>
                <w:rFonts w:hint="eastAsia"/>
              </w:rPr>
              <w:t>无</w:t>
            </w:r>
          </w:p>
        </w:tc>
      </w:tr>
      <w:tr w14:paraId="5FEE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DEDBDB5">
            <w:pPr>
              <w:ind w:firstLine="0" w:firstLineChars="0"/>
              <w:jc w:val="center"/>
            </w:pPr>
            <w:r>
              <w:rPr>
                <w:rFonts w:hint="eastAsia"/>
              </w:rPr>
              <w:t>2.2.1</w:t>
            </w:r>
          </w:p>
        </w:tc>
        <w:tc>
          <w:tcPr>
            <w:tcW w:w="2630" w:type="dxa"/>
            <w:vAlign w:val="center"/>
          </w:tcPr>
          <w:p w14:paraId="7C30EE7E">
            <w:r>
              <w:rPr>
                <w:rFonts w:hint="eastAsia"/>
              </w:rPr>
              <w:t>要求招标人澄清招标</w:t>
            </w:r>
          </w:p>
          <w:p w14:paraId="5EDA83E8">
            <w:r>
              <w:rPr>
                <w:rFonts w:hint="eastAsia"/>
              </w:rPr>
              <w:t>文件截至时间</w:t>
            </w:r>
          </w:p>
        </w:tc>
        <w:tc>
          <w:tcPr>
            <w:tcW w:w="6143" w:type="dxa"/>
            <w:vAlign w:val="center"/>
          </w:tcPr>
          <w:p w14:paraId="5CF13809">
            <w:pPr>
              <w:ind w:firstLine="0" w:firstLineChars="0"/>
            </w:pPr>
            <w:r>
              <w:rPr>
                <w:rFonts w:hint="eastAsia"/>
              </w:rPr>
              <w:t>202</w:t>
            </w:r>
            <w:r>
              <w:t>5</w:t>
            </w:r>
            <w:r>
              <w:rPr>
                <w:rFonts w:hint="eastAsia"/>
              </w:rPr>
              <w:t>年</w:t>
            </w:r>
            <w:r>
              <w:rPr>
                <w:rFonts w:hint="eastAsia"/>
                <w:lang w:val="en-US" w:eastAsia="zh-CN"/>
              </w:rPr>
              <w:t>3</w:t>
            </w:r>
            <w:r>
              <w:rPr>
                <w:rFonts w:hint="eastAsia"/>
              </w:rPr>
              <w:t>月</w:t>
            </w:r>
            <w:r>
              <w:t xml:space="preserve"> </w:t>
            </w:r>
            <w:r>
              <w:rPr>
                <w:rFonts w:hint="eastAsia"/>
                <w:lang w:val="en-US" w:eastAsia="zh-CN"/>
              </w:rPr>
              <w:t>14</w:t>
            </w:r>
            <w:r>
              <w:t xml:space="preserve"> </w:t>
            </w:r>
            <w:r>
              <w:rPr>
                <w:rFonts w:hint="eastAsia"/>
              </w:rPr>
              <w:t>日18：00前</w:t>
            </w:r>
          </w:p>
        </w:tc>
      </w:tr>
      <w:tr w14:paraId="7DCB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3BAF4AC">
            <w:pPr>
              <w:ind w:firstLine="0" w:firstLineChars="0"/>
              <w:jc w:val="center"/>
            </w:pPr>
            <w:r>
              <w:rPr>
                <w:rFonts w:hint="eastAsia"/>
              </w:rPr>
              <w:t>2.2.3</w:t>
            </w:r>
          </w:p>
        </w:tc>
        <w:tc>
          <w:tcPr>
            <w:tcW w:w="2630" w:type="dxa"/>
            <w:vAlign w:val="center"/>
          </w:tcPr>
          <w:p w14:paraId="10F12E29">
            <w:r>
              <w:rPr>
                <w:rFonts w:hint="eastAsia"/>
              </w:rPr>
              <w:t>投标人确认收到招标</w:t>
            </w:r>
          </w:p>
          <w:p w14:paraId="7B0CEFFC">
            <w:r>
              <w:rPr>
                <w:rFonts w:hint="eastAsia"/>
              </w:rPr>
              <w:t>文件澄清时间</w:t>
            </w:r>
          </w:p>
        </w:tc>
        <w:tc>
          <w:tcPr>
            <w:tcW w:w="6143" w:type="dxa"/>
            <w:vAlign w:val="center"/>
          </w:tcPr>
          <w:p w14:paraId="7B9E9A38">
            <w:pPr>
              <w:ind w:firstLine="0" w:firstLineChars="0"/>
              <w:rPr>
                <w:u w:val="single"/>
              </w:rPr>
            </w:pPr>
            <w:r>
              <w:rPr>
                <w:rFonts w:hint="eastAsia"/>
              </w:rPr>
              <w:t>投标人自行网上查寻</w:t>
            </w:r>
          </w:p>
        </w:tc>
      </w:tr>
      <w:tr w14:paraId="6B35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C3DC360">
            <w:pPr>
              <w:ind w:firstLine="0" w:firstLineChars="0"/>
              <w:jc w:val="center"/>
            </w:pPr>
            <w:r>
              <w:rPr>
                <w:rFonts w:hint="eastAsia"/>
              </w:rPr>
              <w:t>2.3.1</w:t>
            </w:r>
          </w:p>
        </w:tc>
        <w:tc>
          <w:tcPr>
            <w:tcW w:w="2630" w:type="dxa"/>
            <w:vAlign w:val="center"/>
          </w:tcPr>
          <w:p w14:paraId="6910348C">
            <w:r>
              <w:rPr>
                <w:rFonts w:hint="eastAsia"/>
              </w:rPr>
              <w:t>投标人确认收到招标</w:t>
            </w:r>
          </w:p>
          <w:p w14:paraId="25178678">
            <w:r>
              <w:rPr>
                <w:rFonts w:hint="eastAsia"/>
              </w:rPr>
              <w:t>文件修改时间</w:t>
            </w:r>
          </w:p>
        </w:tc>
        <w:tc>
          <w:tcPr>
            <w:tcW w:w="6143" w:type="dxa"/>
            <w:vAlign w:val="center"/>
          </w:tcPr>
          <w:p w14:paraId="24B1B346">
            <w:pPr>
              <w:ind w:firstLine="0" w:firstLineChars="0"/>
            </w:pPr>
            <w:r>
              <w:rPr>
                <w:rFonts w:hint="eastAsia"/>
              </w:rPr>
              <w:t>投标人自行网上查寻</w:t>
            </w:r>
          </w:p>
        </w:tc>
      </w:tr>
      <w:tr w14:paraId="16FF7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135" w:type="dxa"/>
            <w:vAlign w:val="center"/>
          </w:tcPr>
          <w:p w14:paraId="0FF1F5A4">
            <w:pPr>
              <w:ind w:firstLine="0" w:firstLineChars="0"/>
              <w:jc w:val="center"/>
            </w:pPr>
            <w:r>
              <w:rPr>
                <w:rFonts w:hint="eastAsia"/>
              </w:rPr>
              <w:t>3.1.1</w:t>
            </w:r>
          </w:p>
        </w:tc>
        <w:tc>
          <w:tcPr>
            <w:tcW w:w="2630" w:type="dxa"/>
            <w:vAlign w:val="center"/>
          </w:tcPr>
          <w:p w14:paraId="5BC787C0">
            <w:r>
              <w:rPr>
                <w:rFonts w:hint="eastAsia"/>
              </w:rPr>
              <w:t>投标文件的组成</w:t>
            </w:r>
          </w:p>
        </w:tc>
        <w:tc>
          <w:tcPr>
            <w:tcW w:w="6143" w:type="dxa"/>
            <w:vAlign w:val="center"/>
          </w:tcPr>
          <w:p w14:paraId="6691B7E3">
            <w:pPr>
              <w:ind w:firstLine="0" w:firstLineChars="0"/>
            </w:pPr>
            <w:r>
              <w:rPr>
                <w:rFonts w:hint="eastAsia"/>
              </w:rPr>
              <w:t>本项目投标文件包括资信文件、商务文件、技术文件、开标一览表。</w:t>
            </w:r>
          </w:p>
          <w:p w14:paraId="2DB6571D">
            <w:pPr>
              <w:ind w:firstLine="0" w:firstLineChars="0"/>
            </w:pPr>
            <w:r>
              <w:rPr>
                <w:rFonts w:hint="eastAsia"/>
              </w:rPr>
              <w:t>⑴资信文件应包括如下内容：</w:t>
            </w:r>
          </w:p>
          <w:p w14:paraId="47090E4B">
            <w:pPr>
              <w:ind w:firstLine="0" w:firstLineChars="0"/>
            </w:pPr>
            <w:r>
              <w:rPr>
                <w:rFonts w:hint="eastAsia"/>
              </w:rPr>
              <w:sym w:font="Wingdings 2" w:char="0052"/>
            </w:r>
            <w:r>
              <w:rPr>
                <w:rFonts w:hint="eastAsia"/>
              </w:rPr>
              <w:t xml:space="preserve"> 投标企业营业执照；</w:t>
            </w:r>
          </w:p>
          <w:p w14:paraId="7E45743A">
            <w:pPr>
              <w:ind w:firstLine="0" w:firstLineChars="0"/>
              <w:rPr>
                <w:rFonts w:hint="eastAsia"/>
              </w:rPr>
            </w:pPr>
            <w:r>
              <w:rPr>
                <w:rFonts w:hint="eastAsia"/>
              </w:rPr>
              <w:sym w:font="Wingdings 2" w:char="0052"/>
            </w:r>
            <w:r>
              <w:rPr>
                <w:rFonts w:hint="eastAsia"/>
              </w:rPr>
              <w:t>投标人提供满足《中华人民共和国政府采购法》第二十二条规定条件的声明函</w:t>
            </w:r>
          </w:p>
          <w:p w14:paraId="0173EDAE">
            <w:pPr>
              <w:ind w:firstLine="0" w:firstLineChars="0"/>
            </w:pPr>
            <w:r>
              <w:rPr>
                <w:rFonts w:hint="eastAsia"/>
              </w:rPr>
              <w:sym w:font="Wingdings 2" w:char="0052"/>
            </w:r>
            <w:r>
              <w:rPr>
                <w:rFonts w:hint="eastAsia"/>
              </w:rPr>
              <w:t>投标人认为需要提供的其他材料。</w:t>
            </w:r>
          </w:p>
          <w:p w14:paraId="383B7DE0">
            <w:pPr>
              <w:ind w:firstLine="0" w:firstLineChars="0"/>
            </w:pPr>
            <w:r>
              <w:rPr>
                <w:rFonts w:hint="eastAsia"/>
              </w:rPr>
              <w:t>⑵商务文件应包括如下内容：</w:t>
            </w:r>
          </w:p>
          <w:p w14:paraId="4FFCE868">
            <w:pPr>
              <w:ind w:firstLine="0" w:firstLineChars="0"/>
            </w:pPr>
            <w:r>
              <w:rPr>
                <w:rFonts w:hint="eastAsia" w:ascii="宋体" w:hAnsi="宋体" w:cs="宋体"/>
              </w:rPr>
              <w:sym w:font="Wingdings 2" w:char="0052"/>
            </w:r>
            <w:r>
              <w:rPr>
                <w:rFonts w:hint="eastAsia"/>
              </w:rPr>
              <w:t>投标函；</w:t>
            </w:r>
          </w:p>
          <w:p w14:paraId="6F2CD88C">
            <w:pPr>
              <w:ind w:firstLine="0" w:firstLineChars="0"/>
            </w:pPr>
            <w:r>
              <w:rPr>
                <w:rFonts w:hint="eastAsia" w:ascii="宋体" w:hAnsi="宋体" w:cs="宋体"/>
              </w:rPr>
              <w:sym w:font="Wingdings 2" w:char="0052"/>
            </w:r>
            <w:r>
              <w:rPr>
                <w:rFonts w:hint="eastAsia"/>
              </w:rPr>
              <w:t>投标报价明细表；</w:t>
            </w:r>
          </w:p>
          <w:p w14:paraId="3D8EDE62">
            <w:pPr>
              <w:ind w:firstLine="0" w:firstLineChars="0"/>
            </w:pPr>
            <w:r>
              <w:rPr>
                <w:rFonts w:hint="eastAsia" w:ascii="宋体" w:hAnsi="宋体" w:cs="宋体"/>
              </w:rPr>
              <w:sym w:font="Wingdings 2" w:char="0052"/>
            </w:r>
            <w:r>
              <w:rPr>
                <w:rFonts w:hint="eastAsia"/>
              </w:rPr>
              <w:t>法定代表人身份证明书；</w:t>
            </w:r>
          </w:p>
          <w:p w14:paraId="090B953B">
            <w:pPr>
              <w:pStyle w:val="28"/>
              <w:ind w:firstLine="0" w:firstLineChars="0"/>
            </w:pPr>
            <w:r>
              <w:rPr>
                <w:rFonts w:hint="eastAsia" w:hAnsi="宋体"/>
                <w:szCs w:val="21"/>
              </w:rPr>
              <w:sym w:font="Wingdings 2" w:char="0052"/>
            </w:r>
            <w:r>
              <w:rPr>
                <w:rFonts w:hint="eastAsia"/>
              </w:rPr>
              <w:t>法定代表人授权委托书及授权委托人身份证复印件（如有）；</w:t>
            </w:r>
          </w:p>
          <w:p w14:paraId="630C0320">
            <w:pPr>
              <w:pStyle w:val="28"/>
              <w:ind w:firstLine="0" w:firstLineChars="0"/>
            </w:pPr>
            <w:r>
              <w:rPr>
                <w:rFonts w:hint="eastAsia" w:hAnsi="宋体"/>
                <w:szCs w:val="21"/>
              </w:rPr>
              <w:sym w:font="Wingdings 2" w:char="0052"/>
            </w:r>
            <w:r>
              <w:rPr>
                <w:rFonts w:hint="eastAsia"/>
              </w:rPr>
              <w:t>商务及技术条款偏离表；</w:t>
            </w:r>
          </w:p>
          <w:p w14:paraId="5C73E15E">
            <w:pPr>
              <w:pStyle w:val="28"/>
              <w:ind w:firstLine="0" w:firstLineChars="0"/>
            </w:pPr>
            <w:r>
              <w:rPr>
                <w:rFonts w:hint="eastAsia" w:hAnsi="宋体"/>
                <w:szCs w:val="21"/>
              </w:rPr>
              <w:sym w:font="Wingdings 2" w:char="0052"/>
            </w:r>
            <w:r>
              <w:rPr>
                <w:rFonts w:hint="eastAsia"/>
              </w:rPr>
              <w:t>供货一览表；</w:t>
            </w:r>
          </w:p>
          <w:p w14:paraId="1EFBA072">
            <w:pPr>
              <w:pStyle w:val="28"/>
              <w:ind w:firstLine="0" w:firstLineChars="0"/>
              <w:rPr>
                <w:b/>
                <w:bCs/>
              </w:rPr>
            </w:pPr>
            <w:r>
              <w:rPr>
                <w:rFonts w:hint="eastAsia" w:hAnsi="宋体"/>
                <w:szCs w:val="21"/>
              </w:rPr>
              <w:sym w:font="Wingdings 2" w:char="0052"/>
            </w:r>
            <w:r>
              <w:rPr>
                <w:rFonts w:hint="eastAsia"/>
              </w:rPr>
              <w:t>投标人认为需要提供的其他材料。</w:t>
            </w:r>
          </w:p>
          <w:p w14:paraId="478C8240">
            <w:pPr>
              <w:ind w:firstLine="0" w:firstLineChars="0"/>
            </w:pPr>
            <w:r>
              <w:rPr>
                <w:rFonts w:hint="eastAsia"/>
              </w:rPr>
              <w:t>⑶技术文件应包括如下内容：</w:t>
            </w:r>
          </w:p>
          <w:p w14:paraId="15901C07">
            <w:pPr>
              <w:ind w:firstLine="0" w:firstLineChars="0"/>
            </w:pPr>
            <w:r>
              <w:rPr>
                <w:rFonts w:hint="eastAsia" w:ascii="宋体" w:hAnsi="宋体" w:cs="宋体"/>
              </w:rPr>
              <w:sym w:font="Wingdings 2" w:char="0052"/>
            </w:r>
            <w:r>
              <w:rPr>
                <w:rFonts w:hint="eastAsia"/>
              </w:rPr>
              <w:t>按招标文件要求以及评标办法评分需要提供。</w:t>
            </w:r>
          </w:p>
          <w:p w14:paraId="08289952">
            <w:pPr>
              <w:ind w:firstLine="0" w:firstLineChars="0"/>
            </w:pPr>
            <w:r>
              <w:rPr>
                <w:rFonts w:hint="eastAsia"/>
              </w:rPr>
              <w:t>⑷开标一览表</w:t>
            </w:r>
          </w:p>
        </w:tc>
      </w:tr>
      <w:tr w14:paraId="79AA1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631A7BB">
            <w:pPr>
              <w:ind w:firstLine="0" w:firstLineChars="0"/>
              <w:jc w:val="center"/>
            </w:pPr>
            <w:r>
              <w:rPr>
                <w:rFonts w:hint="eastAsia"/>
              </w:rPr>
              <w:t>3.2.2</w:t>
            </w:r>
          </w:p>
        </w:tc>
        <w:tc>
          <w:tcPr>
            <w:tcW w:w="2630" w:type="dxa"/>
            <w:vAlign w:val="center"/>
          </w:tcPr>
          <w:p w14:paraId="78199818">
            <w:r>
              <w:rPr>
                <w:rFonts w:hint="eastAsia"/>
              </w:rPr>
              <w:t>投标报价要求</w:t>
            </w:r>
          </w:p>
        </w:tc>
        <w:tc>
          <w:tcPr>
            <w:tcW w:w="6143" w:type="dxa"/>
            <w:vAlign w:val="center"/>
          </w:tcPr>
          <w:p w14:paraId="795AB6B4">
            <w:pPr>
              <w:ind w:firstLine="0" w:firstLineChars="0"/>
            </w:pPr>
            <w:r>
              <w:rPr>
                <w:rFonts w:hint="eastAsia"/>
              </w:rPr>
              <w:t>投标报价是指投标人应充分考虑为完成本项目可能发生的全部费用及利润和税金等包括设计费用、货物制造和服务所使用的材料和部件、备品备件、辅助材料、运输（包括包装、装卸、运输至指定地点的费用以及现场卸货及搬运至安装位置）、安装、调试、样品费用、售后服务费用、人工费、人员保险、服装费、材料费、管理费、招标代理费、咨询费、垃圾清运费、检测费、验收费、培训费、售后服务费、质保费、管理费、服务本身已支付或将支付的进口税、增值税、营业税和其他税费，以及其他交付使用方使用前的所有费用及政策性文件规定等各项应有费用，所有不可预见的全部相关费用（应充分考虑所有风险、责任等），招标文件未列明，而投标人认为必需的费用自行综合考虑到报价。招标文件中另有规定的除外。投标所报单价为最终结算单价，投标人不得再要求追加任何费用。同时，除非合同条款中另有规定，否则，投标单位所报单价在合同实施期间不因市场变化因素而变动。</w:t>
            </w:r>
          </w:p>
        </w:tc>
      </w:tr>
      <w:tr w14:paraId="2EF1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C083FCF">
            <w:pPr>
              <w:ind w:firstLine="0" w:firstLineChars="0"/>
              <w:jc w:val="center"/>
            </w:pPr>
            <w:r>
              <w:rPr>
                <w:rFonts w:hint="eastAsia"/>
              </w:rPr>
              <w:t>3.2.3</w:t>
            </w:r>
          </w:p>
        </w:tc>
        <w:tc>
          <w:tcPr>
            <w:tcW w:w="2630" w:type="dxa"/>
            <w:vAlign w:val="center"/>
          </w:tcPr>
          <w:p w14:paraId="255EA396">
            <w:r>
              <w:rPr>
                <w:rFonts w:hint="eastAsia"/>
              </w:rPr>
              <w:t>最高投标限价</w:t>
            </w:r>
          </w:p>
        </w:tc>
        <w:tc>
          <w:tcPr>
            <w:tcW w:w="6143" w:type="dxa"/>
            <w:vAlign w:val="center"/>
          </w:tcPr>
          <w:p w14:paraId="0CC6C35D">
            <w:pPr>
              <w:ind w:firstLine="0" w:firstLineChars="0"/>
            </w:pPr>
            <w:r>
              <w:rPr>
                <w:rFonts w:hint="eastAsia"/>
              </w:rPr>
              <w:t>4</w:t>
            </w:r>
            <w:r>
              <w:t>50</w:t>
            </w:r>
            <w:r>
              <w:rPr>
                <w:rFonts w:hint="eastAsia"/>
              </w:rPr>
              <w:t>万元</w:t>
            </w:r>
          </w:p>
        </w:tc>
      </w:tr>
      <w:tr w14:paraId="0E7DA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4F05F8C">
            <w:pPr>
              <w:ind w:firstLine="0" w:firstLineChars="0"/>
              <w:jc w:val="center"/>
            </w:pPr>
            <w:r>
              <w:rPr>
                <w:rFonts w:hint="eastAsia"/>
              </w:rPr>
              <w:t>3.3.1</w:t>
            </w:r>
          </w:p>
        </w:tc>
        <w:tc>
          <w:tcPr>
            <w:tcW w:w="2630" w:type="dxa"/>
            <w:vAlign w:val="center"/>
          </w:tcPr>
          <w:p w14:paraId="067C9A22">
            <w:r>
              <w:rPr>
                <w:rFonts w:hint="eastAsia"/>
              </w:rPr>
              <w:t>投标有效期</w:t>
            </w:r>
          </w:p>
        </w:tc>
        <w:tc>
          <w:tcPr>
            <w:tcW w:w="6143" w:type="dxa"/>
            <w:vAlign w:val="center"/>
          </w:tcPr>
          <w:p w14:paraId="516974B6">
            <w:pPr>
              <w:ind w:firstLine="0" w:firstLineChars="0"/>
            </w:pPr>
            <w:r>
              <w:rPr>
                <w:rFonts w:hint="eastAsia"/>
                <w:u w:val="single"/>
                <w:lang w:val="zh-CN"/>
              </w:rPr>
              <w:t>60</w:t>
            </w:r>
            <w:r>
              <w:rPr>
                <w:rFonts w:hint="eastAsia"/>
                <w:lang w:val="zh-CN"/>
              </w:rPr>
              <w:t>日（从投标截止之日算起）</w:t>
            </w:r>
          </w:p>
        </w:tc>
      </w:tr>
      <w:tr w14:paraId="0D96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716EAC4D">
            <w:pPr>
              <w:ind w:firstLine="0" w:firstLineChars="0"/>
              <w:jc w:val="center"/>
            </w:pPr>
            <w:r>
              <w:rPr>
                <w:rFonts w:hint="eastAsia"/>
              </w:rPr>
              <w:t>3.4</w:t>
            </w:r>
          </w:p>
        </w:tc>
        <w:tc>
          <w:tcPr>
            <w:tcW w:w="2630" w:type="dxa"/>
            <w:vAlign w:val="center"/>
          </w:tcPr>
          <w:p w14:paraId="320B5024">
            <w:r>
              <w:rPr>
                <w:rFonts w:hint="eastAsia"/>
              </w:rPr>
              <w:t>投标保证金</w:t>
            </w:r>
          </w:p>
        </w:tc>
        <w:tc>
          <w:tcPr>
            <w:tcW w:w="6143" w:type="dxa"/>
            <w:vAlign w:val="center"/>
          </w:tcPr>
          <w:p w14:paraId="3443B543">
            <w:pPr>
              <w:ind w:firstLine="0" w:firstLineChars="0"/>
              <w:rPr>
                <w:u w:val="single"/>
              </w:rPr>
            </w:pPr>
            <w:r>
              <w:rPr>
                <w:rFonts w:hint="eastAsia"/>
              </w:rPr>
              <w:t>参照执行苏财购[2020]52号文《关于做好政府采购支持企业发展有关事项的通知》，本项目不需要缴纳投标保证金。</w:t>
            </w:r>
          </w:p>
        </w:tc>
      </w:tr>
      <w:tr w14:paraId="6F75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7FAB3B8">
            <w:pPr>
              <w:ind w:firstLine="0" w:firstLineChars="0"/>
              <w:jc w:val="center"/>
            </w:pPr>
            <w:r>
              <w:rPr>
                <w:rFonts w:hint="eastAsia"/>
              </w:rPr>
              <w:t>3.6</w:t>
            </w:r>
          </w:p>
        </w:tc>
        <w:tc>
          <w:tcPr>
            <w:tcW w:w="2630" w:type="dxa"/>
            <w:vAlign w:val="center"/>
          </w:tcPr>
          <w:p w14:paraId="56431BAD">
            <w:r>
              <w:rPr>
                <w:rFonts w:hint="eastAsia"/>
              </w:rPr>
              <w:t>是否允许递交备选</w:t>
            </w:r>
          </w:p>
          <w:p w14:paraId="7BDF5294">
            <w:r>
              <w:rPr>
                <w:rFonts w:hint="eastAsia"/>
              </w:rPr>
              <w:t>投标方案</w:t>
            </w:r>
          </w:p>
        </w:tc>
        <w:tc>
          <w:tcPr>
            <w:tcW w:w="6143" w:type="dxa"/>
            <w:vAlign w:val="center"/>
          </w:tcPr>
          <w:p w14:paraId="4088E36D">
            <w:pPr>
              <w:ind w:firstLine="0" w:firstLineChars="0"/>
            </w:pPr>
            <w:r>
              <w:rPr>
                <w:rFonts w:hint="eastAsia"/>
              </w:rPr>
              <w:sym w:font="Wingdings" w:char="00FE"/>
            </w:r>
            <w:r>
              <w:rPr>
                <w:rFonts w:hint="eastAsia"/>
              </w:rPr>
              <w:t>不允许</w:t>
            </w:r>
          </w:p>
        </w:tc>
      </w:tr>
      <w:tr w14:paraId="0C7E7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68E2EB7">
            <w:pPr>
              <w:ind w:firstLine="0" w:firstLineChars="0"/>
              <w:jc w:val="center"/>
            </w:pPr>
            <w:r>
              <w:rPr>
                <w:rFonts w:hint="eastAsia"/>
              </w:rPr>
              <w:t>4.2.1</w:t>
            </w:r>
          </w:p>
        </w:tc>
        <w:tc>
          <w:tcPr>
            <w:tcW w:w="2630" w:type="dxa"/>
            <w:vAlign w:val="center"/>
          </w:tcPr>
          <w:p w14:paraId="43A9C2D5">
            <w:r>
              <w:rPr>
                <w:rFonts w:hint="eastAsia"/>
              </w:rPr>
              <w:t>投标文件递交截止</w:t>
            </w:r>
          </w:p>
          <w:p w14:paraId="4AA37895">
            <w:r>
              <w:rPr>
                <w:rFonts w:hint="eastAsia"/>
              </w:rPr>
              <w:t>时间</w:t>
            </w:r>
          </w:p>
        </w:tc>
        <w:tc>
          <w:tcPr>
            <w:tcW w:w="6143" w:type="dxa"/>
            <w:vAlign w:val="center"/>
          </w:tcPr>
          <w:p w14:paraId="2BCB08AF">
            <w:pPr>
              <w:ind w:firstLine="0" w:firstLineChars="0"/>
              <w:rPr>
                <w:kern w:val="0"/>
              </w:rPr>
            </w:pPr>
            <w:r>
              <w:rPr>
                <w:rFonts w:hint="eastAsia"/>
              </w:rPr>
              <w:t>202</w:t>
            </w:r>
            <w:r>
              <w:t>5</w:t>
            </w:r>
            <w:r>
              <w:rPr>
                <w:rFonts w:hint="eastAsia"/>
              </w:rPr>
              <w:t>年</w:t>
            </w:r>
            <w:r>
              <w:t xml:space="preserve"> </w:t>
            </w:r>
            <w:r>
              <w:rPr>
                <w:rFonts w:hint="eastAsia"/>
                <w:lang w:val="en-US" w:eastAsia="zh-CN"/>
              </w:rPr>
              <w:t>3</w:t>
            </w:r>
            <w:r>
              <w:t xml:space="preserve"> </w:t>
            </w:r>
            <w:r>
              <w:rPr>
                <w:rFonts w:hint="eastAsia"/>
              </w:rPr>
              <w:t>月</w:t>
            </w:r>
            <w:r>
              <w:t xml:space="preserve"> </w:t>
            </w:r>
            <w:r>
              <w:rPr>
                <w:rFonts w:hint="eastAsia"/>
                <w:lang w:val="en-US" w:eastAsia="zh-CN"/>
              </w:rPr>
              <w:t>27</w:t>
            </w:r>
            <w:r>
              <w:t xml:space="preserve"> </w:t>
            </w:r>
            <w:r>
              <w:rPr>
                <w:rFonts w:hint="eastAsia"/>
              </w:rPr>
              <w:t>日0</w:t>
            </w:r>
            <w:r>
              <w:rPr>
                <w:rFonts w:hint="eastAsia"/>
                <w:lang w:val="en-US" w:eastAsia="zh-CN"/>
              </w:rPr>
              <w:t>9</w:t>
            </w:r>
            <w:r>
              <w:rPr>
                <w:rFonts w:hint="eastAsia"/>
              </w:rPr>
              <w:t>时00分 00 秒；</w:t>
            </w:r>
            <w:r>
              <w:rPr>
                <w:rFonts w:hint="eastAsia"/>
                <w:kern w:val="0"/>
              </w:rPr>
              <w:t xml:space="preserve"> </w:t>
            </w:r>
          </w:p>
        </w:tc>
      </w:tr>
      <w:tr w14:paraId="2ED9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89C28CE">
            <w:pPr>
              <w:ind w:firstLine="0" w:firstLineChars="0"/>
              <w:jc w:val="center"/>
            </w:pPr>
            <w:r>
              <w:rPr>
                <w:rFonts w:hint="eastAsia"/>
              </w:rPr>
              <w:t>4.2.2</w:t>
            </w:r>
          </w:p>
        </w:tc>
        <w:tc>
          <w:tcPr>
            <w:tcW w:w="2630" w:type="dxa"/>
            <w:vAlign w:val="center"/>
          </w:tcPr>
          <w:p w14:paraId="701FDCA1">
            <w:r>
              <w:rPr>
                <w:rFonts w:hint="eastAsia"/>
              </w:rPr>
              <w:t>投标文件递交地点</w:t>
            </w:r>
          </w:p>
        </w:tc>
        <w:tc>
          <w:tcPr>
            <w:tcW w:w="6143" w:type="dxa"/>
            <w:vAlign w:val="center"/>
          </w:tcPr>
          <w:p w14:paraId="1FB11C2A">
            <w:pPr>
              <w:ind w:firstLine="0" w:firstLineChars="0"/>
            </w:pPr>
            <w:r>
              <w:rPr>
                <w:rFonts w:hint="eastAsia"/>
              </w:rPr>
              <w:t xml:space="preserve">（1）电子档上传地址：“投标文件制作工具”生成的xetf格式的电子档上传至新点电子交易平台-大丰政府采购系统（网址：https://www.etrading.cn/BREpointSSO/login/oauth2login）。   </w:t>
            </w:r>
          </w:p>
          <w:p w14:paraId="602F503A">
            <w:pPr>
              <w:ind w:firstLine="0" w:firstLineChars="0"/>
            </w:pPr>
            <w:r>
              <w:rPr>
                <w:rFonts w:hint="eastAsia"/>
              </w:rPr>
              <w:t>（2）投标人未在投标文件递交截止时间前将加密的投标文件上传至新点电子交易平台-大丰政府采购系统，视为放弃其投标</w:t>
            </w:r>
          </w:p>
        </w:tc>
      </w:tr>
      <w:tr w14:paraId="17266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BBA51A9">
            <w:pPr>
              <w:ind w:firstLine="0" w:firstLineChars="0"/>
              <w:jc w:val="center"/>
            </w:pPr>
            <w:r>
              <w:rPr>
                <w:rFonts w:hint="eastAsia"/>
              </w:rPr>
              <w:t>4.2.3</w:t>
            </w:r>
          </w:p>
        </w:tc>
        <w:tc>
          <w:tcPr>
            <w:tcW w:w="2630" w:type="dxa"/>
            <w:vAlign w:val="center"/>
          </w:tcPr>
          <w:p w14:paraId="25F02A49">
            <w:r>
              <w:rPr>
                <w:rFonts w:hint="eastAsia"/>
              </w:rPr>
              <w:t>是否退还投标文件</w:t>
            </w:r>
          </w:p>
        </w:tc>
        <w:tc>
          <w:tcPr>
            <w:tcW w:w="6143" w:type="dxa"/>
            <w:vAlign w:val="center"/>
          </w:tcPr>
          <w:p w14:paraId="31F3E759">
            <w:pPr>
              <w:ind w:firstLine="0" w:firstLineChars="0"/>
            </w:pPr>
            <w:r>
              <w:rPr>
                <w:rFonts w:hint="eastAsia"/>
              </w:rPr>
              <w:sym w:font="Wingdings" w:char="00FE"/>
            </w:r>
            <w:r>
              <w:rPr>
                <w:rFonts w:hint="eastAsia"/>
              </w:rPr>
              <w:t>否（相关原件资料除外）</w:t>
            </w:r>
          </w:p>
          <w:p w14:paraId="28A3B512">
            <w:pPr>
              <w:ind w:firstLine="0" w:firstLineChars="0"/>
            </w:pPr>
            <w:r>
              <w:rPr>
                <w:rFonts w:hint="eastAsia"/>
              </w:rPr>
              <w:sym w:font="Wingdings" w:char="00A8"/>
            </w:r>
            <w:r>
              <w:rPr>
                <w:rFonts w:hint="eastAsia"/>
              </w:rPr>
              <w:t xml:space="preserve">是，退还安排：               </w:t>
            </w:r>
          </w:p>
        </w:tc>
      </w:tr>
      <w:tr w14:paraId="05A3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C7E8B3C">
            <w:pPr>
              <w:ind w:firstLine="0" w:firstLineChars="0"/>
              <w:jc w:val="center"/>
            </w:pPr>
            <w:r>
              <w:rPr>
                <w:rFonts w:hint="eastAsia"/>
              </w:rPr>
              <w:t>5.1</w:t>
            </w:r>
          </w:p>
        </w:tc>
        <w:tc>
          <w:tcPr>
            <w:tcW w:w="2630" w:type="dxa"/>
            <w:vAlign w:val="center"/>
          </w:tcPr>
          <w:p w14:paraId="591C70AB">
            <w:r>
              <w:rPr>
                <w:rFonts w:hint="eastAsia"/>
              </w:rPr>
              <w:t>开标时间和地点</w:t>
            </w:r>
          </w:p>
        </w:tc>
        <w:tc>
          <w:tcPr>
            <w:tcW w:w="6143" w:type="dxa"/>
            <w:vAlign w:val="center"/>
          </w:tcPr>
          <w:p w14:paraId="2C04BB2C">
            <w:pPr>
              <w:ind w:firstLine="0" w:firstLineChars="0"/>
            </w:pPr>
            <w:r>
              <w:rPr>
                <w:rFonts w:hint="eastAsia"/>
              </w:rPr>
              <w:t>开标时间：</w:t>
            </w:r>
            <w:r>
              <w:rPr>
                <w:rFonts w:hint="eastAsia"/>
                <w:u w:val="single"/>
              </w:rPr>
              <w:t>202</w:t>
            </w:r>
            <w:r>
              <w:rPr>
                <w:u w:val="single"/>
              </w:rPr>
              <w:t>5</w:t>
            </w:r>
            <w:r>
              <w:rPr>
                <w:rFonts w:hint="eastAsia"/>
              </w:rPr>
              <w:t>年</w:t>
            </w:r>
            <w:r>
              <w:rPr>
                <w:u w:val="single"/>
              </w:rPr>
              <w:t xml:space="preserve"> </w:t>
            </w:r>
            <w:r>
              <w:rPr>
                <w:rFonts w:hint="eastAsia"/>
                <w:u w:val="single"/>
                <w:lang w:val="en-US" w:eastAsia="zh-CN"/>
              </w:rPr>
              <w:t xml:space="preserve">3 </w:t>
            </w:r>
            <w:r>
              <w:rPr>
                <w:rFonts w:hint="eastAsia"/>
              </w:rPr>
              <w:t>月</w:t>
            </w:r>
            <w:r>
              <w:rPr>
                <w:u w:val="single"/>
              </w:rPr>
              <w:t xml:space="preserve"> </w:t>
            </w:r>
            <w:r>
              <w:rPr>
                <w:rFonts w:hint="eastAsia"/>
                <w:u w:val="single"/>
                <w:lang w:val="en-US" w:eastAsia="zh-CN"/>
              </w:rPr>
              <w:t>27</w:t>
            </w:r>
            <w:r>
              <w:rPr>
                <w:u w:val="single"/>
              </w:rPr>
              <w:t xml:space="preserve"> </w:t>
            </w:r>
            <w:r>
              <w:rPr>
                <w:rFonts w:hint="eastAsia"/>
              </w:rPr>
              <w:t>日</w:t>
            </w:r>
            <w:r>
              <w:rPr>
                <w:rFonts w:hint="eastAsia"/>
                <w:u w:val="single"/>
              </w:rPr>
              <w:t>0</w:t>
            </w:r>
            <w:r>
              <w:rPr>
                <w:rFonts w:hint="eastAsia"/>
                <w:u w:val="single"/>
                <w:lang w:val="en-US" w:eastAsia="zh-CN"/>
              </w:rPr>
              <w:t>9</w:t>
            </w:r>
            <w:r>
              <w:rPr>
                <w:rFonts w:hint="eastAsia"/>
              </w:rPr>
              <w:t>时</w:t>
            </w:r>
            <w:r>
              <w:rPr>
                <w:rFonts w:hint="eastAsia"/>
                <w:u w:val="single"/>
              </w:rPr>
              <w:t>00</w:t>
            </w:r>
            <w:r>
              <w:rPr>
                <w:rFonts w:hint="eastAsia"/>
              </w:rPr>
              <w:t>分</w:t>
            </w:r>
            <w:r>
              <w:rPr>
                <w:rFonts w:hint="eastAsia"/>
                <w:u w:val="single"/>
              </w:rPr>
              <w:t xml:space="preserve"> 00 </w:t>
            </w:r>
            <w:r>
              <w:rPr>
                <w:rFonts w:hint="eastAsia"/>
              </w:rPr>
              <w:t>秒；</w:t>
            </w:r>
          </w:p>
          <w:p w14:paraId="4F079204">
            <w:pPr>
              <w:ind w:firstLine="0" w:firstLineChars="0"/>
              <w:rPr>
                <w:u w:val="single"/>
              </w:rPr>
            </w:pPr>
            <w:r>
              <w:rPr>
                <w:rFonts w:hint="eastAsia"/>
              </w:rPr>
              <w:t>开标地点：开标大厅系统http://js.etrading.cn/EpointBidOpening/bidopeninghallaction/hall/login。</w:t>
            </w:r>
          </w:p>
        </w:tc>
      </w:tr>
      <w:tr w14:paraId="512ED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11EBFAA">
            <w:pPr>
              <w:ind w:firstLine="0" w:firstLineChars="0"/>
              <w:jc w:val="center"/>
            </w:pPr>
            <w:r>
              <w:rPr>
                <w:rFonts w:hint="eastAsia"/>
              </w:rPr>
              <w:t>5.1.1</w:t>
            </w:r>
          </w:p>
        </w:tc>
        <w:tc>
          <w:tcPr>
            <w:tcW w:w="2630" w:type="dxa"/>
            <w:vAlign w:val="center"/>
          </w:tcPr>
          <w:p w14:paraId="14C11F83">
            <w:r>
              <w:rPr>
                <w:rFonts w:hint="eastAsia"/>
              </w:rPr>
              <w:t>参加开标会的</w:t>
            </w:r>
          </w:p>
          <w:p w14:paraId="6B10931C">
            <w:r>
              <w:rPr>
                <w:rFonts w:hint="eastAsia"/>
              </w:rPr>
              <w:t>投标人代表</w:t>
            </w:r>
          </w:p>
        </w:tc>
        <w:tc>
          <w:tcPr>
            <w:tcW w:w="6143" w:type="dxa"/>
            <w:vAlign w:val="center"/>
          </w:tcPr>
          <w:p w14:paraId="52FB8D3B">
            <w:pPr>
              <w:ind w:firstLine="0" w:firstLineChars="0"/>
            </w:pPr>
            <w:r>
              <w:rPr>
                <w:rFonts w:hint="eastAsia"/>
              </w:rPr>
              <w:t>本项目实行不见面开标，各投标人（供应商）的授权委托人或法人代表应在投标文件提交截止时间前提前登入“开标大厅系统”（步骤：登入-投标人-CA登录-江苏省CA），到达投标文件提交截止时间后，首先进入开标程序中的投标文件解密会议，然后按系统提示完成投标文件解密。（解密完成后投标人可自行决定是否继续参加开（唱）标会议，投标人未参加开标的，视同认可开标结果）。投标人代表进入相应标段的开标会议区收听观看实时音视频交互效果并及时在讨论组中反馈，未按时加入开标会议区并完成扫码登录操作的或未能在开标会议区内全程参与交互的，视为放弃交互和放弃对开标全过程提疑的权利，投标人将无法看到解密指令、无效投标及澄清、开（唱）标等实时情况，并承担由此导致的一切不利后果。</w:t>
            </w:r>
          </w:p>
          <w:p w14:paraId="7F4BA163">
            <w:pPr>
              <w:ind w:firstLine="0" w:firstLineChars="0"/>
            </w:pPr>
            <w:r>
              <w:rPr>
                <w:rFonts w:hint="eastAsia"/>
              </w:rPr>
              <w:t>开评标全过程中，各投标人参与远程交互的授权委托人或法人代表应始终为同一个人，中途不得更换，在废标、澄清、提疑、传送文件等特殊情况下需要交互时，投标人一端参与交互的人员将均被视为是投标人的授权委托人或法人代表，投标人不得以不承认交互人员的资格或身份等为借口，投标人自行承担随意更换人员所导致的一切不利后果。</w:t>
            </w:r>
          </w:p>
        </w:tc>
      </w:tr>
      <w:tr w14:paraId="6721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27F1779">
            <w:pPr>
              <w:ind w:firstLine="0" w:firstLineChars="0"/>
              <w:jc w:val="center"/>
            </w:pPr>
            <w:r>
              <w:rPr>
                <w:rFonts w:hint="eastAsia"/>
              </w:rPr>
              <w:t>5.2</w:t>
            </w:r>
          </w:p>
        </w:tc>
        <w:tc>
          <w:tcPr>
            <w:tcW w:w="2630" w:type="dxa"/>
            <w:vAlign w:val="center"/>
          </w:tcPr>
          <w:p w14:paraId="3EB76971">
            <w:r>
              <w:rPr>
                <w:rFonts w:hint="eastAsia"/>
              </w:rPr>
              <w:t>开标程序</w:t>
            </w:r>
          </w:p>
        </w:tc>
        <w:tc>
          <w:tcPr>
            <w:tcW w:w="6143" w:type="dxa"/>
            <w:vAlign w:val="center"/>
          </w:tcPr>
          <w:p w14:paraId="63866673">
            <w:pPr>
              <w:ind w:firstLine="0" w:firstLineChars="0"/>
            </w:pPr>
            <w:r>
              <w:rPr>
                <w:rFonts w:hint="eastAsia"/>
              </w:rPr>
              <w:t xml:space="preserve">详见投标须知5.2条 </w:t>
            </w:r>
          </w:p>
        </w:tc>
      </w:tr>
      <w:tr w14:paraId="18FA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251BA309">
            <w:pPr>
              <w:ind w:firstLine="0" w:firstLineChars="0"/>
              <w:jc w:val="center"/>
            </w:pPr>
            <w:r>
              <w:rPr>
                <w:rFonts w:hint="eastAsia"/>
              </w:rPr>
              <w:t>5.2.2</w:t>
            </w:r>
          </w:p>
        </w:tc>
        <w:tc>
          <w:tcPr>
            <w:tcW w:w="2630" w:type="dxa"/>
            <w:vAlign w:val="center"/>
          </w:tcPr>
          <w:p w14:paraId="18BDF273">
            <w:r>
              <w:rPr>
                <w:rFonts w:hint="eastAsia"/>
              </w:rPr>
              <w:t>投标文件解密时间</w:t>
            </w:r>
          </w:p>
        </w:tc>
        <w:tc>
          <w:tcPr>
            <w:tcW w:w="6143" w:type="dxa"/>
            <w:vAlign w:val="center"/>
          </w:tcPr>
          <w:p w14:paraId="4629D8E4">
            <w:pPr>
              <w:ind w:firstLine="0" w:firstLineChars="0"/>
            </w:pPr>
            <w:r>
              <w:rPr>
                <w:rFonts w:hint="eastAsia"/>
              </w:rPr>
              <w:t>投标人解密时间限定在开标大厅系统发出投标文件解密指令后15分钟内完成，因投标人原因未能解密、解密失败或解密超时，视为投标人放弃本次投标（无效投标），系统内投标文件将被退回；因招标人原因或网上招投标平台发生故障，导致无法按时完成投标文件解密或开、评标工作无法进行的，可根据实际情况相应延迟解密时间或调整开、评标时间。</w:t>
            </w:r>
            <w:r>
              <w:rPr>
                <w:rFonts w:hint="eastAsia"/>
                <w:b/>
                <w:bCs/>
              </w:rPr>
              <w:t>（友情提示：进行解密的时候，应使用生成投标文件的CA锁进行操作，否则无法完成解密。）</w:t>
            </w:r>
          </w:p>
        </w:tc>
      </w:tr>
      <w:tr w14:paraId="485D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5C245B9E">
            <w:pPr>
              <w:ind w:firstLine="0" w:firstLineChars="0"/>
              <w:jc w:val="center"/>
            </w:pPr>
            <w:r>
              <w:rPr>
                <w:rFonts w:hint="eastAsia"/>
              </w:rPr>
              <w:t>6.1</w:t>
            </w:r>
          </w:p>
        </w:tc>
        <w:tc>
          <w:tcPr>
            <w:tcW w:w="2630" w:type="dxa"/>
            <w:vAlign w:val="center"/>
          </w:tcPr>
          <w:p w14:paraId="0EEC2289">
            <w:r>
              <w:rPr>
                <w:rFonts w:hint="eastAsia"/>
              </w:rPr>
              <w:t>评标委员会的组建</w:t>
            </w:r>
          </w:p>
        </w:tc>
        <w:tc>
          <w:tcPr>
            <w:tcW w:w="6143" w:type="dxa"/>
            <w:vAlign w:val="center"/>
          </w:tcPr>
          <w:p w14:paraId="58D4F046">
            <w:pPr>
              <w:ind w:firstLine="0" w:firstLineChars="0"/>
            </w:pPr>
            <w:r>
              <w:rPr>
                <w:rFonts w:hint="eastAsia"/>
              </w:rPr>
              <w:t>评标委员会构成：</w:t>
            </w:r>
            <w:r>
              <w:rPr>
                <w:rFonts w:hint="eastAsia"/>
                <w:b/>
                <w:bCs/>
                <w:u w:val="single"/>
              </w:rPr>
              <w:t>5人或5人以上单数</w:t>
            </w:r>
            <w:r>
              <w:rPr>
                <w:rFonts w:hint="eastAsia"/>
              </w:rPr>
              <w:t>；</w:t>
            </w:r>
          </w:p>
          <w:p w14:paraId="66617834">
            <w:pPr>
              <w:ind w:firstLine="0" w:firstLineChars="0"/>
            </w:pPr>
            <w:r>
              <w:rPr>
                <w:rFonts w:hint="eastAsia"/>
              </w:rPr>
              <w:t>专家：5人或5人以上单数；</w:t>
            </w:r>
          </w:p>
          <w:p w14:paraId="35DF277D">
            <w:pPr>
              <w:ind w:firstLine="0" w:firstLineChars="0"/>
            </w:pPr>
            <w:r>
              <w:rPr>
                <w:rFonts w:hint="eastAsia"/>
              </w:rPr>
              <w:t>评标专家确定方式：电脑随机抽取</w:t>
            </w:r>
          </w:p>
        </w:tc>
      </w:tr>
      <w:tr w14:paraId="0A7E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07EBF5F6">
            <w:pPr>
              <w:ind w:firstLine="0" w:firstLineChars="0"/>
              <w:jc w:val="center"/>
            </w:pPr>
            <w:r>
              <w:rPr>
                <w:rFonts w:hint="eastAsia"/>
              </w:rPr>
              <w:t>6.3</w:t>
            </w:r>
          </w:p>
        </w:tc>
        <w:tc>
          <w:tcPr>
            <w:tcW w:w="2630" w:type="dxa"/>
            <w:vAlign w:val="center"/>
          </w:tcPr>
          <w:p w14:paraId="21BA14AA">
            <w:r>
              <w:rPr>
                <w:rFonts w:hint="eastAsia"/>
              </w:rPr>
              <w:t>评标办法</w:t>
            </w:r>
          </w:p>
        </w:tc>
        <w:tc>
          <w:tcPr>
            <w:tcW w:w="6143" w:type="dxa"/>
            <w:vAlign w:val="center"/>
          </w:tcPr>
          <w:p w14:paraId="4AEAD8B6">
            <w:pPr>
              <w:ind w:firstLine="0" w:firstLineChars="0"/>
            </w:pPr>
            <w:r>
              <w:rPr>
                <w:rFonts w:hint="eastAsia"/>
              </w:rPr>
              <w:t>综合评分法</w:t>
            </w:r>
          </w:p>
        </w:tc>
      </w:tr>
      <w:tr w14:paraId="51D7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0CFBC211">
            <w:pPr>
              <w:ind w:firstLine="0" w:firstLineChars="0"/>
              <w:jc w:val="center"/>
            </w:pPr>
            <w:r>
              <w:rPr>
                <w:rFonts w:hint="eastAsia"/>
              </w:rPr>
              <w:t>8.1</w:t>
            </w:r>
          </w:p>
        </w:tc>
        <w:tc>
          <w:tcPr>
            <w:tcW w:w="2630" w:type="dxa"/>
            <w:vAlign w:val="center"/>
          </w:tcPr>
          <w:p w14:paraId="12A24A1D">
            <w:r>
              <w:rPr>
                <w:rFonts w:hint="eastAsia"/>
              </w:rPr>
              <w:t>是否授权评标</w:t>
            </w:r>
          </w:p>
          <w:p w14:paraId="7ECE4A1C">
            <w:r>
              <w:rPr>
                <w:rFonts w:hint="eastAsia"/>
              </w:rPr>
              <w:t>委员会确定中标人</w:t>
            </w:r>
          </w:p>
        </w:tc>
        <w:tc>
          <w:tcPr>
            <w:tcW w:w="6143" w:type="dxa"/>
            <w:vAlign w:val="center"/>
          </w:tcPr>
          <w:p w14:paraId="3B0DB909">
            <w:pPr>
              <w:ind w:firstLine="0" w:firstLineChars="0"/>
            </w:pPr>
            <w:r>
              <w:rPr>
                <w:rFonts w:hint="eastAsia"/>
              </w:rPr>
              <w:sym w:font="Wingdings" w:char="00A8"/>
            </w:r>
            <w:r>
              <w:rPr>
                <w:rFonts w:hint="eastAsia"/>
              </w:rPr>
              <w:t>是</w:t>
            </w:r>
          </w:p>
          <w:p w14:paraId="05065439">
            <w:pPr>
              <w:ind w:firstLine="0" w:firstLineChars="0"/>
              <w:rPr>
                <w:u w:val="single"/>
              </w:rPr>
            </w:pPr>
            <w:r>
              <w:rPr>
                <w:rFonts w:hint="eastAsia"/>
              </w:rPr>
              <w:sym w:font="Wingdings" w:char="00FE"/>
            </w:r>
            <w:r>
              <w:rPr>
                <w:rFonts w:hint="eastAsia"/>
              </w:rPr>
              <w:t>否</w:t>
            </w:r>
          </w:p>
        </w:tc>
      </w:tr>
      <w:tr w14:paraId="7337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6B6950B4">
            <w:pPr>
              <w:ind w:firstLine="0" w:firstLineChars="0"/>
              <w:jc w:val="center"/>
            </w:pPr>
            <w:r>
              <w:rPr>
                <w:rFonts w:hint="eastAsia"/>
              </w:rPr>
              <w:t>8.3</w:t>
            </w:r>
          </w:p>
        </w:tc>
        <w:tc>
          <w:tcPr>
            <w:tcW w:w="2630" w:type="dxa"/>
            <w:vAlign w:val="center"/>
          </w:tcPr>
          <w:p w14:paraId="1F65D1A9">
            <w:r>
              <w:rPr>
                <w:rFonts w:hint="eastAsia"/>
              </w:rPr>
              <w:t>履约保证金</w:t>
            </w:r>
          </w:p>
        </w:tc>
        <w:tc>
          <w:tcPr>
            <w:tcW w:w="6143" w:type="dxa"/>
            <w:vAlign w:val="center"/>
          </w:tcPr>
          <w:p w14:paraId="0F8758CB">
            <w:pPr>
              <w:ind w:firstLine="0" w:firstLineChars="0"/>
            </w:pPr>
            <w:r>
              <w:rPr>
                <w:rFonts w:hint="eastAsia"/>
              </w:rPr>
              <w:t>履约保证金的形式：转账、履约担保或者投标人基本账户开户行出具的银行保函、保险公司保险单。</w:t>
            </w:r>
          </w:p>
          <w:p w14:paraId="7F47BF4A">
            <w:pPr>
              <w:ind w:firstLine="0" w:firstLineChars="0"/>
            </w:pPr>
            <w:r>
              <w:rPr>
                <w:rFonts w:hint="eastAsia"/>
              </w:rPr>
              <w:t>履约保证金的金额：中标价的10%。</w:t>
            </w:r>
          </w:p>
          <w:p w14:paraId="6F451D21">
            <w:pPr>
              <w:ind w:firstLine="0" w:firstLineChars="0"/>
            </w:pPr>
            <w:r>
              <w:rPr>
                <w:rFonts w:hint="eastAsia"/>
              </w:rPr>
              <w:t>注：对提供＂信用中国(江苏盐城)＂备案的第三方信用报告AA评级及以上采购供应商，免收履约保证金或履约保证金缴纳比例降低，合同订立前需提供相关证明材料。</w:t>
            </w:r>
          </w:p>
          <w:p w14:paraId="411BD5F0">
            <w:pPr>
              <w:ind w:firstLine="0" w:firstLineChars="0"/>
            </w:pPr>
            <w:r>
              <w:rPr>
                <w:rFonts w:hint="eastAsia"/>
              </w:rPr>
              <w:t>履约保证金退还：该项目全部实施完成并经招标人验收合格</w:t>
            </w:r>
            <w:r>
              <w:t>且无违约情形</w:t>
            </w:r>
            <w:r>
              <w:rPr>
                <w:rFonts w:hint="eastAsia"/>
              </w:rPr>
              <w:t>后一周内退还。</w:t>
            </w:r>
          </w:p>
        </w:tc>
      </w:tr>
      <w:tr w14:paraId="2A46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44D52940">
            <w:pPr>
              <w:ind w:firstLine="0" w:firstLineChars="0"/>
              <w:jc w:val="center"/>
            </w:pPr>
            <w:r>
              <w:rPr>
                <w:rFonts w:hint="eastAsia"/>
              </w:rPr>
              <w:t>10.1</w:t>
            </w:r>
          </w:p>
        </w:tc>
        <w:tc>
          <w:tcPr>
            <w:tcW w:w="2630" w:type="dxa"/>
            <w:vAlign w:val="center"/>
          </w:tcPr>
          <w:p w14:paraId="0A7BACB7">
            <w:r>
              <w:rPr>
                <w:rFonts w:hint="eastAsia"/>
              </w:rPr>
              <w:t>付款方式</w:t>
            </w:r>
          </w:p>
        </w:tc>
        <w:tc>
          <w:tcPr>
            <w:tcW w:w="6143" w:type="dxa"/>
            <w:vAlign w:val="center"/>
          </w:tcPr>
          <w:p w14:paraId="3CDCA4D2">
            <w:pPr>
              <w:ind w:firstLine="0" w:firstLineChars="0"/>
            </w:pPr>
            <w:r>
              <w:rPr>
                <w:rFonts w:hint="eastAsia"/>
              </w:rPr>
              <w:t>1、采购人于合同签订后支付合同价款的20%作为预付款；</w:t>
            </w:r>
          </w:p>
          <w:p w14:paraId="1C3657D6">
            <w:pPr>
              <w:ind w:firstLine="0" w:firstLineChars="0"/>
            </w:pPr>
            <w:r>
              <w:rPr>
                <w:rFonts w:hint="eastAsia"/>
              </w:rPr>
              <w:t>2、供货商在规定时间内按照约定完成供货、安装并经验收合格后，采购人付至实际到场货物价款的</w:t>
            </w:r>
            <w:r>
              <w:t>7</w:t>
            </w:r>
            <w:r>
              <w:rPr>
                <w:rFonts w:hint="eastAsia"/>
              </w:rPr>
              <w:t>0%；</w:t>
            </w:r>
          </w:p>
          <w:p w14:paraId="7F401615">
            <w:pPr>
              <w:ind w:firstLine="0" w:firstLineChars="0"/>
            </w:pPr>
            <w:r>
              <w:rPr>
                <w:rFonts w:hint="eastAsia"/>
              </w:rPr>
              <w:t>3、采购人委托第三方审计机构完成审核后3</w:t>
            </w:r>
            <w:r>
              <w:t>0日内</w:t>
            </w:r>
            <w:r>
              <w:rPr>
                <w:rFonts w:hint="eastAsia"/>
              </w:rPr>
              <w:t>，付至经审核的结算价款的</w:t>
            </w:r>
            <w:r>
              <w:t>90</w:t>
            </w:r>
            <w:r>
              <w:rPr>
                <w:rFonts w:hint="eastAsia"/>
              </w:rPr>
              <w:t>%；</w:t>
            </w:r>
          </w:p>
          <w:p w14:paraId="0EECF35B">
            <w:pPr>
              <w:ind w:firstLine="0" w:firstLineChars="0"/>
            </w:pPr>
            <w:r>
              <w:rPr>
                <w:rFonts w:hint="eastAsia"/>
              </w:rPr>
              <w:t>4、余款作为质量保证金，质保期内无质量问题一年支付一次，支付额为结算总额×</w:t>
            </w:r>
            <w:r>
              <w:t>1</w:t>
            </w:r>
            <w:r>
              <w:rPr>
                <w:rFonts w:hint="eastAsia"/>
              </w:rPr>
              <w:t>0%/质保年限，质保期满时结清。</w:t>
            </w:r>
          </w:p>
          <w:p w14:paraId="36EEAC07">
            <w:pPr>
              <w:ind w:firstLine="0" w:firstLineChars="0"/>
            </w:pPr>
            <w:r>
              <w:rPr>
                <w:rFonts w:hint="eastAsia"/>
              </w:rPr>
              <w:t>注：按以上付款进度，无任何利息补偿。</w:t>
            </w:r>
          </w:p>
        </w:tc>
      </w:tr>
      <w:tr w14:paraId="0BE4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399D9790">
            <w:pPr>
              <w:ind w:firstLine="0" w:firstLineChars="0"/>
              <w:jc w:val="center"/>
            </w:pPr>
            <w:r>
              <w:rPr>
                <w:rFonts w:hint="eastAsia"/>
              </w:rPr>
              <w:t>10.2</w:t>
            </w:r>
          </w:p>
        </w:tc>
        <w:tc>
          <w:tcPr>
            <w:tcW w:w="2630" w:type="dxa"/>
            <w:vAlign w:val="center"/>
          </w:tcPr>
          <w:p w14:paraId="17B0ED72">
            <w:r>
              <w:rPr>
                <w:rFonts w:hint="eastAsia"/>
              </w:rPr>
              <w:t>收费标准</w:t>
            </w:r>
          </w:p>
        </w:tc>
        <w:tc>
          <w:tcPr>
            <w:tcW w:w="6143" w:type="dxa"/>
            <w:vAlign w:val="center"/>
          </w:tcPr>
          <w:p w14:paraId="6F4FDCFF">
            <w:pPr>
              <w:ind w:firstLine="0" w:firstLineChars="0"/>
            </w:pPr>
            <w:r>
              <w:rPr>
                <w:rFonts w:hint="eastAsia" w:ascii="宋体" w:hAnsi="宋体" w:cs="宋体"/>
                <w:bCs/>
                <w:szCs w:val="21"/>
              </w:rPr>
              <w:t>本项目招标代理费</w:t>
            </w:r>
            <w:r>
              <w:rPr>
                <w:rFonts w:hint="eastAsia" w:ascii="宋体" w:hAnsi="宋体" w:cs="宋体"/>
                <w:bCs/>
                <w:szCs w:val="21"/>
                <w:lang w:val="en-US" w:eastAsia="zh-CN"/>
              </w:rPr>
              <w:t>依据</w:t>
            </w:r>
            <w:r>
              <w:rPr>
                <w:rFonts w:hint="eastAsia" w:ascii="宋体" w:hAnsi="宋体" w:cs="宋体"/>
                <w:bCs/>
                <w:szCs w:val="21"/>
              </w:rPr>
              <w:t>苏招协〔2022〕002号文件规定*40%收费</w:t>
            </w:r>
            <w:r>
              <w:rPr>
                <w:rFonts w:hint="eastAsia" w:ascii="宋体" w:hAnsi="宋体" w:cs="宋体"/>
                <w:bCs/>
                <w:szCs w:val="21"/>
                <w:lang w:eastAsia="zh-CN"/>
              </w:rPr>
              <w:t>，</w:t>
            </w:r>
            <w:r>
              <w:rPr>
                <w:rFonts w:hint="eastAsia" w:ascii="宋体" w:hAnsi="宋体" w:cs="宋体"/>
                <w:bCs/>
                <w:szCs w:val="21"/>
              </w:rPr>
              <w:t>向中标单位收取，请投标人考虑在投标报价中，但不单列；请投标人考虑在投标报价中，但不单列。</w:t>
            </w:r>
          </w:p>
        </w:tc>
      </w:tr>
      <w:tr w14:paraId="156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065012B7">
            <w:pPr>
              <w:ind w:firstLine="0" w:firstLineChars="0"/>
              <w:jc w:val="center"/>
            </w:pPr>
            <w:r>
              <w:rPr>
                <w:rFonts w:hint="eastAsia"/>
              </w:rPr>
              <w:t>11</w:t>
            </w:r>
          </w:p>
        </w:tc>
        <w:tc>
          <w:tcPr>
            <w:tcW w:w="8773" w:type="dxa"/>
            <w:gridSpan w:val="2"/>
            <w:vAlign w:val="center"/>
          </w:tcPr>
          <w:p w14:paraId="2BC86C8F">
            <w:r>
              <w:rPr>
                <w:rFonts w:hint="eastAsia"/>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14:paraId="2235C624">
            <w:r>
              <w:rPr>
                <w:rFonts w:hint="eastAsia"/>
              </w:rPr>
              <w:t>⑴凡是构成合同文件组成内容的不明确或不一致，以合同文件约定内容为准，且以专用合同条款约定的合同文件优先顺序解释；</w:t>
            </w:r>
          </w:p>
          <w:p w14:paraId="377FE41C">
            <w:r>
              <w:rPr>
                <w:rFonts w:hint="eastAsia"/>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6373A042">
            <w:r>
              <w:rPr>
                <w:rFonts w:hint="eastAsia"/>
              </w:rPr>
              <w:t>⑶按本款前述规定仍不能形成结论的，由招标人负责解释。</w:t>
            </w:r>
          </w:p>
        </w:tc>
      </w:tr>
      <w:tr w14:paraId="035AD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vAlign w:val="center"/>
          </w:tcPr>
          <w:p w14:paraId="15B2A78A">
            <w:pPr>
              <w:ind w:firstLine="0" w:firstLineChars="0"/>
              <w:jc w:val="center"/>
            </w:pPr>
            <w:r>
              <w:rPr>
                <w:rFonts w:hint="eastAsia"/>
              </w:rPr>
              <w:t>12</w:t>
            </w:r>
          </w:p>
        </w:tc>
        <w:tc>
          <w:tcPr>
            <w:tcW w:w="8773" w:type="dxa"/>
            <w:gridSpan w:val="2"/>
            <w:vAlign w:val="center"/>
          </w:tcPr>
          <w:p w14:paraId="22A70F9C">
            <w:r>
              <w:rPr>
                <w:rFonts w:hint="eastAsia"/>
              </w:rPr>
              <w:t>1、本招标文件时间均以中华人民共和国北京时间为准，所涉及金额的币种均为人民币。</w:t>
            </w:r>
          </w:p>
          <w:p w14:paraId="0FAA8586">
            <w:r>
              <w:rPr>
                <w:rFonts w:hint="eastAsia"/>
              </w:rPr>
              <w:t>2、凡参与本项目投标的投标人，视同已踏勘过项目现场和研究了本招标文件的所有内容，并无保留地接受招标文件的所有条款（含招标答疑、补充通知等）。</w:t>
            </w:r>
          </w:p>
          <w:p w14:paraId="540998E6">
            <w:r>
              <w:rPr>
                <w:rFonts w:hint="eastAsia"/>
              </w:rPr>
              <w:t>3、为防止因开标前集中上传投标文件造成的网络拥堵，导致投标人无法在投标截止时间前成功上传投标文件，建议投标人在开标前尽早将投标文件上传到</w:t>
            </w:r>
            <w:r>
              <w:rPr>
                <w:rFonts w:hint="eastAsia"/>
                <w:b/>
                <w:bCs/>
              </w:rPr>
              <w:t>新点电子交易平台-大丰政府采购系统</w:t>
            </w:r>
            <w:r>
              <w:rPr>
                <w:rFonts w:hint="eastAsia"/>
              </w:rPr>
              <w:t>（网址：https://www.etrading.cn/BREpointSSO/login/oauth2login）</w:t>
            </w:r>
            <w:r>
              <w:rPr>
                <w:rFonts w:hint="eastAsia"/>
                <w:b/>
                <w:bCs/>
              </w:rPr>
              <w:t>。</w:t>
            </w:r>
          </w:p>
          <w:p w14:paraId="64A198BD">
            <w:r>
              <w:rPr>
                <w:rFonts w:hint="eastAsia"/>
              </w:rPr>
              <w:t>4、请统一使用最新版本的投标文件编制工具制作投标文件，相应软件请至新点电子交易平台（https://www.etrading.cn/），点击右侧“常用下载”，选择“投标工具”进行下载（网址：https://download.bqpoint.com/download/downloaddetail.html?SourceFrom=Ztb&amp;ZtbSoftXiaQuCode=0128&amp;ZtbSoftType=tballinclusive），投标文件制作视频学习地址：https://www.etrading.cn/bszn/015005/015005002/20211227/80e55434-c70a-4a10-923e-641aa639269e.html。</w:t>
            </w:r>
            <w:r>
              <w:rPr>
                <w:rFonts w:hint="eastAsia"/>
                <w:b/>
                <w:bCs/>
              </w:rPr>
              <w:t>目前投标人使用投标文件制作工具制作投标文件时，无需电子签章。</w:t>
            </w:r>
          </w:p>
          <w:p w14:paraId="690B24C3">
            <w:r>
              <w:rPr>
                <w:rFonts w:hint="eastAsia"/>
              </w:rPr>
              <w:t>5、因本项目采用全程电子化及不见面开标模式，故招标人特别说明如下：</w:t>
            </w:r>
          </w:p>
          <w:p w14:paraId="2A43F6AA">
            <w:r>
              <w:rPr>
                <w:rFonts w:hint="eastAsia"/>
              </w:rPr>
              <w:t>①、不见面开标项目的时间均以国家授时中心发布的时间为准。</w:t>
            </w:r>
          </w:p>
          <w:p w14:paraId="30CAA06F">
            <w:pPr>
              <w:rPr>
                <w:u w:val="single"/>
              </w:rPr>
            </w:pPr>
            <w:r>
              <w:rPr>
                <w:rFonts w:hint="eastAsia"/>
              </w:rPr>
              <w:t>②、本项目招投标文件均用专用招投标工具软件编制，并通过网上招投标平台完成招投标过程。投标人投标文件的编制和提交，应依照招标文件的规定进行。如未按招标文件要求编制、提交电子投标文件，将有可能导致无效投标，其不利后果由投标人自行承担。不见面开标操作教程详见http://js.etrading.cn/EpointBidOpening/bidopeninghallaction/hall/login。投标人如对正确使用招投标专用工具软件有疑问的，请尽早和软件公司的服务人员联系，他们会根据投标人要求，提供必要的培训和技术支持。平台使用问题、投标文件制作工具使用问题请在工作时间联系新点公司，联系电话：4009280095-5或者联系</w:t>
            </w:r>
            <w:r>
              <w:rPr>
                <w:rFonts w:hint="eastAsia"/>
                <w:b/>
                <w:bCs/>
              </w:rPr>
              <w:t>本项目招标代理，联系电话：</w:t>
            </w:r>
            <w:r>
              <w:rPr>
                <w:rFonts w:hint="eastAsia"/>
                <w:b/>
                <w:bCs/>
                <w:u w:val="single"/>
              </w:rPr>
              <w:t>13851337203。</w:t>
            </w:r>
          </w:p>
          <w:p w14:paraId="43D2460A">
            <w:r>
              <w:rPr>
                <w:rFonts w:hint="eastAsia"/>
              </w:rPr>
              <w:t>③、为顺利实现本项目开评标的远程交互，建议投标人配置的硬件设施有：高配置电脑、高速稳定的网络、电源（不间断）、CA锁、音视频设备（话筒、耳麦、高清摄像头、音响）、扫描仪、打印机、传真机、高清视频监控等；建议投标人具备的软件设施有：IE浏览器（版本必须为11及11以上），江苏省互联互通版驱动版本。为保证交互效果，建议投标人选择封闭安静的地点参与远程交互。因投标人自身软硬件配备不齐全或发生故障等问题而导致在交互过程中出现不稳定或中断等情况的，其产生的不利后果由投标人自身承担。</w:t>
            </w:r>
          </w:p>
          <w:p w14:paraId="27C12591">
            <w:r>
              <w:rPr>
                <w:rFonts w:hint="eastAsia"/>
              </w:rPr>
              <w:t>6、本招标文件未尽事宜，按国家和省法律法规、规章要求处理。</w:t>
            </w:r>
          </w:p>
          <w:p w14:paraId="256B38EB">
            <w:r>
              <w:rPr>
                <w:rFonts w:hint="eastAsia"/>
              </w:rPr>
              <w:t>7、本招标文件的解释权归招标人所有。</w:t>
            </w:r>
          </w:p>
        </w:tc>
      </w:tr>
    </w:tbl>
    <w:p w14:paraId="4386AE8B">
      <w:bookmarkStart w:id="36" w:name="_Toc368760427"/>
      <w:bookmarkStart w:id="37" w:name="_Toc368759375"/>
      <w:bookmarkStart w:id="38" w:name="_Toc184635071"/>
      <w:bookmarkStart w:id="39" w:name="_Toc367894798"/>
      <w:bookmarkStart w:id="40" w:name="_Toc363329370"/>
      <w:bookmarkStart w:id="41" w:name="_Toc369077561"/>
      <w:r>
        <w:rPr>
          <w:rFonts w:hint="eastAsia"/>
        </w:rPr>
        <w:t>特别提醒：</w:t>
      </w:r>
      <w:bookmarkStart w:id="42" w:name="_Toc18948"/>
      <w:bookmarkStart w:id="43" w:name="_Toc397928549"/>
      <w:bookmarkStart w:id="44" w:name="_Toc387526375"/>
      <w:bookmarkStart w:id="45" w:name="_Toc387526179"/>
      <w:bookmarkStart w:id="46" w:name="_Toc387526283"/>
      <w:r>
        <w:rPr>
          <w:rFonts w:hint="eastAsia"/>
        </w:rPr>
        <w:t>招标人会根据招标需要，可能会不定期在大丰公共资源电子交易平台发布该项目补充答疑等澄清修改文件，请各投标人自行网上查寻，未能及时查阅响应而影响投标的，结果由投标人负责。</w:t>
      </w:r>
    </w:p>
    <w:p w14:paraId="4E6259A5">
      <w:bookmarkStart w:id="47" w:name="_Toc27825"/>
      <w:r>
        <w:rPr>
          <w:rFonts w:hint="eastAsia"/>
        </w:rPr>
        <w:br w:type="page"/>
      </w:r>
      <w:r>
        <w:rPr>
          <w:rFonts w:hint="eastAsia"/>
        </w:rPr>
        <w:t>1.总则</w:t>
      </w:r>
      <w:bookmarkEnd w:id="36"/>
      <w:bookmarkEnd w:id="37"/>
      <w:bookmarkEnd w:id="38"/>
      <w:bookmarkEnd w:id="39"/>
      <w:bookmarkEnd w:id="40"/>
      <w:bookmarkEnd w:id="41"/>
      <w:bookmarkEnd w:id="42"/>
      <w:bookmarkEnd w:id="43"/>
      <w:bookmarkEnd w:id="44"/>
      <w:bookmarkEnd w:id="45"/>
      <w:bookmarkEnd w:id="46"/>
      <w:bookmarkEnd w:id="47"/>
    </w:p>
    <w:p w14:paraId="3C118AE6">
      <w:pPr>
        <w:pStyle w:val="6"/>
        <w:ind w:firstLine="118"/>
      </w:pPr>
      <w:bookmarkStart w:id="48" w:name="_Toc397928550"/>
      <w:bookmarkStart w:id="49" w:name="_Toc387526284"/>
      <w:bookmarkStart w:id="50" w:name="_Toc508216880"/>
      <w:bookmarkStart w:id="51" w:name="_Toc387526180"/>
      <w:bookmarkStart w:id="52" w:name="_Toc387526376"/>
      <w:bookmarkStart w:id="53" w:name="_Toc5365"/>
      <w:r>
        <w:rPr>
          <w:rFonts w:hint="eastAsia"/>
        </w:rPr>
        <w:t>1.1 项目概况</w:t>
      </w:r>
      <w:bookmarkEnd w:id="48"/>
      <w:bookmarkEnd w:id="49"/>
      <w:bookmarkEnd w:id="50"/>
      <w:bookmarkEnd w:id="51"/>
      <w:bookmarkEnd w:id="52"/>
      <w:bookmarkEnd w:id="53"/>
    </w:p>
    <w:p w14:paraId="114C59DB">
      <w:r>
        <w:rPr>
          <w:rFonts w:hint="eastAsia"/>
        </w:rPr>
        <w:t>1.1.1根据有关法律、法规和规章的规定，本招标项目已具备招标条件，现对本采购项目进行招标。</w:t>
      </w:r>
    </w:p>
    <w:p w14:paraId="5BBACA60">
      <w:r>
        <w:rPr>
          <w:rFonts w:hint="eastAsia"/>
        </w:rPr>
        <w:t>1.1.2本招标项目招标人：见投标人须知前附表。</w:t>
      </w:r>
    </w:p>
    <w:p w14:paraId="483977F9">
      <w:r>
        <w:rPr>
          <w:rFonts w:hint="eastAsia"/>
        </w:rPr>
        <w:t>1.1.3本招标项目招标代理机构：见投标人须知前附表。</w:t>
      </w:r>
    </w:p>
    <w:p w14:paraId="603133BB">
      <w:r>
        <w:rPr>
          <w:rFonts w:hint="eastAsia"/>
        </w:rPr>
        <w:t>1.1.4本招标项目名称：见投标人须知前附表。</w:t>
      </w:r>
    </w:p>
    <w:p w14:paraId="3AF90072">
      <w:pPr>
        <w:pStyle w:val="6"/>
        <w:ind w:firstLine="118"/>
      </w:pPr>
      <w:bookmarkStart w:id="54" w:name="_Toc387526377"/>
      <w:bookmarkStart w:id="55" w:name="_Toc397928551"/>
      <w:bookmarkStart w:id="56" w:name="_Toc508216881"/>
      <w:bookmarkStart w:id="57" w:name="_Toc387526181"/>
      <w:bookmarkStart w:id="58" w:name="_Toc387526285"/>
      <w:bookmarkStart w:id="59" w:name="_Toc11796"/>
      <w:r>
        <w:rPr>
          <w:rFonts w:hint="eastAsia"/>
        </w:rPr>
        <w:t>1.2 资金来源和落实情况</w:t>
      </w:r>
      <w:bookmarkEnd w:id="54"/>
      <w:bookmarkEnd w:id="55"/>
      <w:bookmarkEnd w:id="56"/>
      <w:bookmarkEnd w:id="57"/>
      <w:bookmarkEnd w:id="58"/>
      <w:bookmarkEnd w:id="59"/>
    </w:p>
    <w:p w14:paraId="4BE6FFA2">
      <w:r>
        <w:rPr>
          <w:rFonts w:hint="eastAsia"/>
        </w:rPr>
        <w:t>1.2.1本招标项目的资金来源：见投标人须知前附表。</w:t>
      </w:r>
    </w:p>
    <w:p w14:paraId="03357A75">
      <w:r>
        <w:rPr>
          <w:rFonts w:hint="eastAsia"/>
        </w:rPr>
        <w:t>1.2.2本招标项目的出资比例：见投标人须知前附表。</w:t>
      </w:r>
    </w:p>
    <w:p w14:paraId="58690553">
      <w:r>
        <w:rPr>
          <w:rFonts w:hint="eastAsia"/>
        </w:rPr>
        <w:t>1.2.3本招标项目的资金落实情况：见投标人须知前附表。</w:t>
      </w:r>
    </w:p>
    <w:p w14:paraId="26786C00">
      <w:pPr>
        <w:pStyle w:val="6"/>
        <w:ind w:firstLine="118"/>
      </w:pPr>
      <w:bookmarkStart w:id="60" w:name="_Toc387526182"/>
      <w:bookmarkStart w:id="61" w:name="_Toc508216882"/>
      <w:bookmarkStart w:id="62" w:name="_Toc853"/>
      <w:bookmarkStart w:id="63" w:name="_Toc387526378"/>
      <w:bookmarkStart w:id="64" w:name="_Toc387526286"/>
      <w:bookmarkStart w:id="65" w:name="_Toc397928552"/>
      <w:r>
        <w:rPr>
          <w:rFonts w:hint="eastAsia"/>
        </w:rPr>
        <w:t>1.3 招标范围、交货期或工期和质量要求</w:t>
      </w:r>
      <w:bookmarkEnd w:id="60"/>
      <w:bookmarkEnd w:id="61"/>
      <w:bookmarkEnd w:id="62"/>
      <w:bookmarkEnd w:id="63"/>
      <w:bookmarkEnd w:id="64"/>
      <w:bookmarkEnd w:id="65"/>
    </w:p>
    <w:p w14:paraId="213A820B">
      <w:r>
        <w:rPr>
          <w:rFonts w:hint="eastAsia"/>
        </w:rPr>
        <w:t>1.3.1本次招标范围：见投标人须知前附表。</w:t>
      </w:r>
    </w:p>
    <w:p w14:paraId="3310009E">
      <w:r>
        <w:rPr>
          <w:rFonts w:hint="eastAsia"/>
        </w:rPr>
        <w:t>1.3.2本招标项目的交货期或工期：见投标人须知前附表。</w:t>
      </w:r>
    </w:p>
    <w:p w14:paraId="5128D3A4">
      <w:r>
        <w:rPr>
          <w:rFonts w:hint="eastAsia"/>
        </w:rPr>
        <w:t>1.3.3本招标项目的交货或服务地点：见投标人须知前附表。</w:t>
      </w:r>
    </w:p>
    <w:p w14:paraId="786E51FB">
      <w:r>
        <w:rPr>
          <w:rFonts w:hint="eastAsia"/>
        </w:rPr>
        <w:t>1.3.4本招标项目的质量要求及验收标准：见投标人须知前附表。</w:t>
      </w:r>
    </w:p>
    <w:p w14:paraId="19ED00E5">
      <w:pPr>
        <w:pStyle w:val="6"/>
        <w:ind w:firstLine="118"/>
      </w:pPr>
      <w:bookmarkStart w:id="66" w:name="_Toc387526379"/>
      <w:bookmarkStart w:id="67" w:name="_Toc397928553"/>
      <w:bookmarkStart w:id="68" w:name="_Toc387526183"/>
      <w:bookmarkStart w:id="69" w:name="_Toc387526287"/>
      <w:bookmarkStart w:id="70" w:name="_Toc13930"/>
      <w:bookmarkStart w:id="71" w:name="_Toc508216883"/>
      <w:r>
        <w:rPr>
          <w:rFonts w:hint="eastAsia"/>
        </w:rPr>
        <w:t>1.4 投标人资格要求</w:t>
      </w:r>
      <w:bookmarkEnd w:id="66"/>
      <w:bookmarkEnd w:id="67"/>
      <w:bookmarkEnd w:id="68"/>
      <w:bookmarkEnd w:id="69"/>
      <w:bookmarkEnd w:id="70"/>
      <w:bookmarkEnd w:id="71"/>
    </w:p>
    <w:p w14:paraId="5D30A487">
      <w:r>
        <w:rPr>
          <w:rFonts w:hint="eastAsia"/>
        </w:rPr>
        <w:t>1.4.1 投标人应具备的资格要求见投标人须知前附表。</w:t>
      </w:r>
    </w:p>
    <w:p w14:paraId="076A318F">
      <w:r>
        <w:rPr>
          <w:rFonts w:hint="eastAsia"/>
        </w:rPr>
        <w:t>1.4.2 投标人须知前附表规定接受联合体投标的，除应符合本章第1.4.1项和投标人须知前附表的要求外，还应遵守以下规定：</w:t>
      </w:r>
    </w:p>
    <w:p w14:paraId="3AF2A6F0">
      <w:r>
        <w:rPr>
          <w:rFonts w:hint="eastAsia"/>
        </w:rPr>
        <w:t>（1）联合体各方应按招标文件提供的格式签订联合体协议书，明确联合体牵头人和各方的权利义务；</w:t>
      </w:r>
    </w:p>
    <w:p w14:paraId="3E7E8C84">
      <w:r>
        <w:rPr>
          <w:rFonts w:hint="eastAsia"/>
        </w:rPr>
        <w:t>（2）由同一专业的单位组成的联合体，按照资质等级较低的单位确定资质等级；</w:t>
      </w:r>
    </w:p>
    <w:p w14:paraId="52018C73">
      <w:pPr>
        <w:rPr>
          <w:kern w:val="0"/>
        </w:rPr>
      </w:pPr>
      <w:r>
        <w:rPr>
          <w:rFonts w:hint="eastAsia"/>
        </w:rPr>
        <w:t>（3）联合体各方不得再以自己名义单独或加入其他联合体在同一标段中参加投标</w:t>
      </w:r>
      <w:r>
        <w:rPr>
          <w:rFonts w:hint="eastAsia"/>
          <w:kern w:val="0"/>
        </w:rPr>
        <w:t>。</w:t>
      </w:r>
    </w:p>
    <w:p w14:paraId="2E02126E">
      <w:r>
        <w:rPr>
          <w:rFonts w:hint="eastAsia"/>
        </w:rPr>
        <w:t xml:space="preserve">1.4.3 投标人不得存在下列情形之一： </w:t>
      </w:r>
    </w:p>
    <w:p w14:paraId="19B440E5">
      <w:bookmarkStart w:id="72" w:name="_Toc1684"/>
      <w:bookmarkStart w:id="73" w:name="_Toc387526288"/>
      <w:bookmarkStart w:id="74" w:name="_Toc387526380"/>
      <w:bookmarkStart w:id="75" w:name="_Toc387526184"/>
      <w:r>
        <w:rPr>
          <w:rFonts w:hint="eastAsia"/>
        </w:rPr>
        <w:t xml:space="preserve">（1）为招标人的附属机构（单位）； </w:t>
      </w:r>
    </w:p>
    <w:p w14:paraId="02635B79">
      <w:r>
        <w:rPr>
          <w:rFonts w:hint="eastAsia"/>
        </w:rPr>
        <w:t>（2）为本标段的监理人；</w:t>
      </w:r>
    </w:p>
    <w:p w14:paraId="5315A571">
      <w:r>
        <w:rPr>
          <w:rFonts w:hint="eastAsia"/>
        </w:rPr>
        <w:t>（3）为本标段的代建人；</w:t>
      </w:r>
    </w:p>
    <w:p w14:paraId="53A80B28">
      <w:r>
        <w:rPr>
          <w:rFonts w:hint="eastAsia"/>
        </w:rPr>
        <w:t>（4）为本标段提供招标代理服务的；</w:t>
      </w:r>
    </w:p>
    <w:p w14:paraId="23ED744B">
      <w:r>
        <w:rPr>
          <w:rFonts w:hint="eastAsia"/>
        </w:rPr>
        <w:t xml:space="preserve">（5）与本标段的监理人或代建人或招标代理机构的单位负责人为同一个人的； </w:t>
      </w:r>
    </w:p>
    <w:p w14:paraId="4E10DD0D">
      <w:r>
        <w:rPr>
          <w:rFonts w:hint="eastAsia"/>
        </w:rPr>
        <w:t>（6）与本标段的监理人或代建人或招标代理机构相互控股或参股的；</w:t>
      </w:r>
    </w:p>
    <w:p w14:paraId="6C3B11CD">
      <w:r>
        <w:rPr>
          <w:rFonts w:hint="eastAsia"/>
        </w:rPr>
        <w:t>（7）与本标段的其他申请人的单位负责人为同一个人的；</w:t>
      </w:r>
    </w:p>
    <w:p w14:paraId="7CAF3EC7">
      <w:r>
        <w:rPr>
          <w:rFonts w:hint="eastAsia"/>
        </w:rPr>
        <w:t>（8）与本标段的其他申请人之间存在控股、管理关系或母公司、全资子公司关系的；</w:t>
      </w:r>
    </w:p>
    <w:p w14:paraId="4F35B98D">
      <w:r>
        <w:rPr>
          <w:rFonts w:hint="eastAsia"/>
        </w:rPr>
        <w:t>（9）法律法规规定的其他情形。</w:t>
      </w:r>
    </w:p>
    <w:p w14:paraId="2DF183AF">
      <w:pPr>
        <w:pStyle w:val="6"/>
        <w:ind w:firstLine="118"/>
      </w:pPr>
      <w:bookmarkStart w:id="76" w:name="_Toc397928554"/>
      <w:bookmarkStart w:id="77" w:name="_Toc508216884"/>
      <w:r>
        <w:rPr>
          <w:rFonts w:hint="eastAsia"/>
        </w:rPr>
        <w:t>1.5 费用承担</w:t>
      </w:r>
      <w:bookmarkEnd w:id="72"/>
      <w:bookmarkEnd w:id="73"/>
      <w:bookmarkEnd w:id="74"/>
      <w:bookmarkEnd w:id="75"/>
      <w:bookmarkEnd w:id="76"/>
      <w:bookmarkEnd w:id="77"/>
    </w:p>
    <w:p w14:paraId="3A4438C5">
      <w:pPr>
        <w:rPr>
          <w:b/>
        </w:rPr>
      </w:pPr>
      <w:r>
        <w:rPr>
          <w:rFonts w:hint="eastAsia"/>
        </w:rPr>
        <w:t>投标人准备和参加投标活动发生的费用自理。</w:t>
      </w:r>
    </w:p>
    <w:p w14:paraId="1CF18E70">
      <w:pPr>
        <w:pStyle w:val="6"/>
        <w:ind w:firstLine="118"/>
      </w:pPr>
      <w:bookmarkStart w:id="78" w:name="_Toc387526289"/>
      <w:bookmarkStart w:id="79" w:name="_Toc397928555"/>
      <w:bookmarkStart w:id="80" w:name="_Toc387526381"/>
      <w:bookmarkStart w:id="81" w:name="_Toc508216885"/>
      <w:bookmarkStart w:id="82" w:name="_Toc5130"/>
      <w:bookmarkStart w:id="83" w:name="_Toc387526185"/>
      <w:r>
        <w:rPr>
          <w:rFonts w:hint="eastAsia"/>
        </w:rPr>
        <w:t>1.6 保密</w:t>
      </w:r>
      <w:bookmarkEnd w:id="78"/>
      <w:bookmarkEnd w:id="79"/>
      <w:bookmarkEnd w:id="80"/>
      <w:bookmarkEnd w:id="81"/>
      <w:bookmarkEnd w:id="82"/>
      <w:bookmarkEnd w:id="83"/>
    </w:p>
    <w:p w14:paraId="17F66DAF">
      <w:r>
        <w:rPr>
          <w:rFonts w:hint="eastAsia"/>
        </w:rPr>
        <w:t>参与招标投标活动的各方应对招标文件和投标文件中的商业和技术等秘密保密，违者应对由此造成的后果承担法律责任。</w:t>
      </w:r>
    </w:p>
    <w:p w14:paraId="61D6CF4F">
      <w:pPr>
        <w:pStyle w:val="6"/>
        <w:ind w:firstLine="118"/>
      </w:pPr>
      <w:bookmarkStart w:id="84" w:name="_Toc387526290"/>
      <w:bookmarkStart w:id="85" w:name="_Toc822"/>
      <w:bookmarkStart w:id="86" w:name="_Toc397928556"/>
      <w:bookmarkStart w:id="87" w:name="_Toc387526186"/>
      <w:bookmarkStart w:id="88" w:name="_Toc387526382"/>
      <w:bookmarkStart w:id="89" w:name="_Toc508216886"/>
      <w:r>
        <w:rPr>
          <w:rFonts w:hint="eastAsia"/>
        </w:rPr>
        <w:t>1.7 语言文字</w:t>
      </w:r>
      <w:bookmarkEnd w:id="84"/>
      <w:bookmarkEnd w:id="85"/>
      <w:bookmarkEnd w:id="86"/>
      <w:bookmarkEnd w:id="87"/>
      <w:bookmarkEnd w:id="88"/>
      <w:bookmarkEnd w:id="89"/>
    </w:p>
    <w:p w14:paraId="332AD709">
      <w:r>
        <w:rPr>
          <w:rFonts w:hint="eastAsia"/>
        </w:rPr>
        <w:t>除专用术语外，与招标投标有关的语言均使用中文。必要时专用术语应附有中文注释。</w:t>
      </w:r>
    </w:p>
    <w:p w14:paraId="4B394044">
      <w:pPr>
        <w:pStyle w:val="6"/>
        <w:ind w:firstLine="118"/>
      </w:pPr>
      <w:bookmarkStart w:id="90" w:name="_Toc31413"/>
      <w:bookmarkStart w:id="91" w:name="_Toc387526383"/>
      <w:bookmarkStart w:id="92" w:name="_Toc397928557"/>
      <w:bookmarkStart w:id="93" w:name="_Toc508216887"/>
      <w:bookmarkStart w:id="94" w:name="_Toc387526291"/>
      <w:bookmarkStart w:id="95" w:name="_Toc387526187"/>
      <w:r>
        <w:rPr>
          <w:rFonts w:hint="eastAsia"/>
        </w:rPr>
        <w:t>1.8 计量单位</w:t>
      </w:r>
      <w:bookmarkEnd w:id="90"/>
      <w:bookmarkEnd w:id="91"/>
      <w:bookmarkEnd w:id="92"/>
      <w:bookmarkEnd w:id="93"/>
      <w:bookmarkEnd w:id="94"/>
      <w:bookmarkEnd w:id="95"/>
    </w:p>
    <w:p w14:paraId="41062F0A">
      <w:r>
        <w:rPr>
          <w:rFonts w:hint="eastAsia"/>
        </w:rPr>
        <w:t>所有计量均采用中华人民共和国法定计量单位。</w:t>
      </w:r>
    </w:p>
    <w:p w14:paraId="1CB1EABA">
      <w:pPr>
        <w:pStyle w:val="6"/>
        <w:ind w:firstLine="118"/>
      </w:pPr>
      <w:bookmarkStart w:id="96" w:name="_Toc387526384"/>
      <w:bookmarkStart w:id="97" w:name="_Toc508216888"/>
      <w:bookmarkStart w:id="98" w:name="_Toc397928558"/>
      <w:bookmarkStart w:id="99" w:name="_Toc387526292"/>
      <w:bookmarkStart w:id="100" w:name="_Toc25122"/>
      <w:bookmarkStart w:id="101" w:name="_Toc387526188"/>
      <w:r>
        <w:rPr>
          <w:rFonts w:hint="eastAsia"/>
        </w:rPr>
        <w:t>1.9 踏勘现场</w:t>
      </w:r>
      <w:bookmarkEnd w:id="96"/>
      <w:bookmarkEnd w:id="97"/>
      <w:bookmarkEnd w:id="98"/>
      <w:bookmarkEnd w:id="99"/>
      <w:bookmarkEnd w:id="100"/>
      <w:bookmarkEnd w:id="101"/>
    </w:p>
    <w:p w14:paraId="2FA16112">
      <w:r>
        <w:rPr>
          <w:rFonts w:hint="eastAsia"/>
        </w:rPr>
        <w:t>1.9.1招标人不组织投标人踏勘现场，投标人可以自行对项目现场和周围环境进行勘察，以获取编制投标文件和签署合同所需的所有资料。</w:t>
      </w:r>
    </w:p>
    <w:p w14:paraId="12B089D2">
      <w:r>
        <w:rPr>
          <w:rFonts w:hint="eastAsia"/>
        </w:rPr>
        <w:t>1.9.2 投标人踏勘现场发生的费用自理。</w:t>
      </w:r>
    </w:p>
    <w:p w14:paraId="4CCE44AA">
      <w:r>
        <w:rPr>
          <w:rFonts w:hint="eastAsia"/>
        </w:rPr>
        <w:t>1.9.3 除招标人的原因外，投标人自行负责在踏勘现场中所发生的人员伤亡和财产损失。</w:t>
      </w:r>
    </w:p>
    <w:p w14:paraId="7F8B67DB">
      <w:r>
        <w:rPr>
          <w:rFonts w:hint="eastAsia"/>
        </w:rPr>
        <w:t>1.9.4 招标人向投标人提供的有关施工现场的资料和数据是招标人现有的能使投标人利用的资料。招标人对投标人由此而做出的推论、理解和结论概不负责。</w:t>
      </w:r>
    </w:p>
    <w:p w14:paraId="7A580B27">
      <w:pPr>
        <w:pStyle w:val="6"/>
        <w:ind w:firstLine="118"/>
      </w:pPr>
      <w:bookmarkStart w:id="102" w:name="_Toc397928559"/>
      <w:bookmarkStart w:id="103" w:name="_Toc11088"/>
      <w:bookmarkStart w:id="104" w:name="_Toc387526293"/>
      <w:bookmarkStart w:id="105" w:name="_Toc387526189"/>
      <w:bookmarkStart w:id="106" w:name="_Toc508216889"/>
      <w:bookmarkStart w:id="107" w:name="_Toc387526385"/>
      <w:r>
        <w:rPr>
          <w:rFonts w:hint="eastAsia"/>
        </w:rPr>
        <w:t>1.10 投标预备会</w:t>
      </w:r>
      <w:bookmarkEnd w:id="102"/>
      <w:bookmarkEnd w:id="103"/>
      <w:bookmarkEnd w:id="104"/>
      <w:bookmarkEnd w:id="105"/>
      <w:bookmarkEnd w:id="106"/>
      <w:bookmarkEnd w:id="107"/>
    </w:p>
    <w:p w14:paraId="4B0E6640">
      <w:r>
        <w:rPr>
          <w:rFonts w:hint="eastAsia"/>
        </w:rPr>
        <w:t>本项目不召开投标预备会。</w:t>
      </w:r>
    </w:p>
    <w:p w14:paraId="2EC06256">
      <w:pPr>
        <w:pStyle w:val="6"/>
        <w:ind w:firstLine="118"/>
      </w:pPr>
      <w:bookmarkStart w:id="108" w:name="_Toc21970"/>
      <w:bookmarkStart w:id="109" w:name="_Toc387526294"/>
      <w:bookmarkStart w:id="110" w:name="_Toc366679673"/>
      <w:bookmarkStart w:id="111" w:name="_Toc397928560"/>
      <w:bookmarkStart w:id="112" w:name="_Toc387526190"/>
      <w:bookmarkStart w:id="113" w:name="_Toc387526386"/>
      <w:bookmarkStart w:id="114" w:name="_Toc508216890"/>
      <w:bookmarkStart w:id="115" w:name="_Toc363329371"/>
      <w:bookmarkStart w:id="116" w:name="_Toc367894799"/>
      <w:r>
        <w:rPr>
          <w:rFonts w:hint="eastAsia"/>
        </w:rPr>
        <w:t>1.11 偏离</w:t>
      </w:r>
      <w:bookmarkEnd w:id="108"/>
      <w:bookmarkEnd w:id="109"/>
      <w:bookmarkEnd w:id="110"/>
      <w:bookmarkEnd w:id="111"/>
      <w:bookmarkEnd w:id="112"/>
      <w:bookmarkEnd w:id="113"/>
      <w:bookmarkEnd w:id="114"/>
    </w:p>
    <w:p w14:paraId="53B0A1D0">
      <w:r>
        <w:rPr>
          <w:rFonts w:hint="eastAsia"/>
        </w:rPr>
        <w:t>投标人须知前附表允许投标文件偏离招标文件某些要求的，偏离应当符合招标文件规定的偏离范围和幅度。</w:t>
      </w:r>
    </w:p>
    <w:p w14:paraId="7CE6D587">
      <w:pPr>
        <w:pStyle w:val="73"/>
        <w:ind w:firstLine="643"/>
      </w:pPr>
      <w:bookmarkStart w:id="117" w:name="_Toc397928561"/>
      <w:bookmarkStart w:id="118" w:name="_Toc508216891"/>
      <w:bookmarkStart w:id="119" w:name="_Toc8430"/>
      <w:bookmarkStart w:id="120" w:name="_Toc369077562"/>
      <w:bookmarkStart w:id="121" w:name="_Toc387526387"/>
      <w:bookmarkStart w:id="122" w:name="_Toc368759376"/>
      <w:bookmarkStart w:id="123" w:name="_Toc387526295"/>
      <w:bookmarkStart w:id="124" w:name="_Toc368760428"/>
      <w:bookmarkStart w:id="125" w:name="_Toc30422"/>
      <w:bookmarkStart w:id="126" w:name="_Toc387526191"/>
      <w:r>
        <w:rPr>
          <w:rFonts w:hint="eastAsia"/>
        </w:rPr>
        <w:t>2.招标文件</w:t>
      </w:r>
      <w:bookmarkEnd w:id="115"/>
      <w:bookmarkEnd w:id="116"/>
      <w:bookmarkEnd w:id="117"/>
      <w:bookmarkEnd w:id="118"/>
      <w:bookmarkEnd w:id="119"/>
      <w:bookmarkEnd w:id="120"/>
      <w:bookmarkEnd w:id="121"/>
      <w:bookmarkEnd w:id="122"/>
      <w:bookmarkEnd w:id="123"/>
      <w:bookmarkEnd w:id="124"/>
      <w:bookmarkEnd w:id="125"/>
      <w:bookmarkEnd w:id="126"/>
    </w:p>
    <w:p w14:paraId="0DE008B4">
      <w:pPr>
        <w:pStyle w:val="6"/>
        <w:ind w:firstLine="118"/>
      </w:pPr>
      <w:bookmarkStart w:id="127" w:name="_Toc397928562"/>
      <w:bookmarkStart w:id="128" w:name="_Toc387526296"/>
      <w:bookmarkStart w:id="129" w:name="_Toc508216892"/>
      <w:bookmarkStart w:id="130" w:name="_Toc387526388"/>
      <w:bookmarkStart w:id="131" w:name="_Toc387526192"/>
      <w:bookmarkStart w:id="132" w:name="_Toc23070"/>
      <w:r>
        <w:rPr>
          <w:rFonts w:hint="eastAsia"/>
        </w:rPr>
        <w:t>2.1 招标文件组成</w:t>
      </w:r>
      <w:bookmarkEnd w:id="127"/>
      <w:bookmarkEnd w:id="128"/>
      <w:bookmarkEnd w:id="129"/>
      <w:bookmarkEnd w:id="130"/>
      <w:bookmarkEnd w:id="131"/>
      <w:bookmarkEnd w:id="132"/>
    </w:p>
    <w:p w14:paraId="4076EC4F">
      <w:r>
        <w:rPr>
          <w:rFonts w:hint="eastAsia"/>
        </w:rPr>
        <w:t>2.1.1 本招标文件包括：</w:t>
      </w:r>
    </w:p>
    <w:p w14:paraId="6A696CC7">
      <w:r>
        <w:rPr>
          <w:rFonts w:hint="eastAsia"/>
        </w:rPr>
        <w:t>（1）招标公告；</w:t>
      </w:r>
    </w:p>
    <w:p w14:paraId="66CAB806">
      <w:r>
        <w:rPr>
          <w:rFonts w:hint="eastAsia"/>
        </w:rPr>
        <w:t>（2）投标人须知；</w:t>
      </w:r>
    </w:p>
    <w:p w14:paraId="2B31AF2A">
      <w:r>
        <w:rPr>
          <w:rFonts w:hint="eastAsia"/>
        </w:rPr>
        <w:t>（3）评标办法；</w:t>
      </w:r>
    </w:p>
    <w:p w14:paraId="2258D078">
      <w:r>
        <w:rPr>
          <w:rFonts w:hint="eastAsia"/>
        </w:rPr>
        <w:t>（4）合同条款及格式；</w:t>
      </w:r>
    </w:p>
    <w:p w14:paraId="3F1AE095">
      <w:r>
        <w:rPr>
          <w:rFonts w:hint="eastAsia"/>
        </w:rPr>
        <w:t>（5）采购需求；</w:t>
      </w:r>
    </w:p>
    <w:p w14:paraId="62457622">
      <w:r>
        <w:rPr>
          <w:rFonts w:hint="eastAsia"/>
        </w:rPr>
        <w:t>（6）投标文件格式；</w:t>
      </w:r>
    </w:p>
    <w:p w14:paraId="077D050B">
      <w:r>
        <w:rPr>
          <w:rFonts w:hint="eastAsia"/>
        </w:rPr>
        <w:t>（7）投标人须知前附表规定的其他材料。</w:t>
      </w:r>
    </w:p>
    <w:p w14:paraId="04951DE5">
      <w:r>
        <w:rPr>
          <w:rFonts w:hint="eastAsia"/>
        </w:rPr>
        <w:t>2.1.2根据本章第1.10款、第2.2款和第2.3款对招标文件所作的澄清、修改，构成招标文件的组成部分。当招标文件相互之间发生矛盾时，以后发出的文件为准。</w:t>
      </w:r>
    </w:p>
    <w:p w14:paraId="0E9F8301">
      <w:pPr>
        <w:pStyle w:val="6"/>
        <w:ind w:firstLine="118"/>
      </w:pPr>
      <w:bookmarkStart w:id="133" w:name="_Toc247085703"/>
      <w:bookmarkStart w:id="134" w:name="_Toc508216893"/>
      <w:bookmarkStart w:id="135" w:name="_Toc387526389"/>
      <w:bookmarkStart w:id="136" w:name="_Toc387526193"/>
      <w:bookmarkStart w:id="137" w:name="_Toc152045544"/>
      <w:bookmarkStart w:id="138" w:name="_Toc387526297"/>
      <w:bookmarkStart w:id="139" w:name="_Toc366679676"/>
      <w:bookmarkStart w:id="140" w:name="_Toc246996932"/>
      <w:bookmarkStart w:id="141" w:name="_Toc397928563"/>
      <w:bookmarkStart w:id="142" w:name="_Toc179632562"/>
      <w:bookmarkStart w:id="143" w:name="_Toc9593"/>
      <w:bookmarkStart w:id="144" w:name="_Toc246996189"/>
      <w:bookmarkStart w:id="145" w:name="_Toc152042320"/>
      <w:bookmarkStart w:id="146" w:name="_Toc144974512"/>
      <w:r>
        <w:rPr>
          <w:rFonts w:hint="eastAsia"/>
        </w:rPr>
        <w:t>2.2 招标文件的澄清</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rPr>
        <w:t xml:space="preserve"> </w:t>
      </w:r>
    </w:p>
    <w:p w14:paraId="2810FA3C">
      <w:bookmarkStart w:id="147" w:name="_Toc387526390"/>
      <w:bookmarkStart w:id="148" w:name="_Toc19263"/>
      <w:bookmarkStart w:id="149" w:name="_Toc246996933"/>
      <w:bookmarkStart w:id="150" w:name="_Toc397928564"/>
      <w:bookmarkStart w:id="151" w:name="_Toc246996190"/>
      <w:bookmarkStart w:id="152" w:name="_Toc366679677"/>
      <w:bookmarkStart w:id="153" w:name="_Toc179632563"/>
      <w:bookmarkStart w:id="154" w:name="_Toc247085704"/>
      <w:bookmarkStart w:id="155" w:name="_Toc387526194"/>
      <w:bookmarkStart w:id="156" w:name="_Toc387526298"/>
      <w:r>
        <w:rPr>
          <w:rFonts w:hint="eastAsia"/>
        </w:rPr>
        <w:t>2.2.1 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招标人应当在7个工作日内对供应商依法提出的询问作出答复。</w:t>
      </w:r>
    </w:p>
    <w:p w14:paraId="7CEF55DC">
      <w:r>
        <w:rPr>
          <w:rFonts w:hint="eastAsia"/>
        </w:rPr>
        <w:t>2.2.2 招标文件的澄清将在投标人须知前附表规定的投标截止时间前以“补充答疑”的形式在大丰公共资源电子交易平台（http://ggzy.dafeng.gov.cn/dfweb/default.aspx）上公开发布，但不指明澄清问题的来源。如果澄清发出的时间距投标截止时间不足15天，且澄清内容影响投标文件编制的，相应延长投标截止时间。</w:t>
      </w:r>
    </w:p>
    <w:p w14:paraId="616CDB13">
      <w:pPr>
        <w:pStyle w:val="6"/>
        <w:ind w:firstLine="118"/>
      </w:pPr>
      <w:bookmarkStart w:id="157" w:name="_Toc508216894"/>
      <w:r>
        <w:rPr>
          <w:rFonts w:hint="eastAsia"/>
        </w:rPr>
        <w:t>2.3 招标文件的修改</w:t>
      </w:r>
      <w:bookmarkEnd w:id="147"/>
      <w:bookmarkEnd w:id="148"/>
      <w:bookmarkEnd w:id="149"/>
      <w:bookmarkEnd w:id="150"/>
      <w:bookmarkEnd w:id="151"/>
      <w:bookmarkEnd w:id="152"/>
      <w:bookmarkEnd w:id="153"/>
      <w:bookmarkEnd w:id="154"/>
      <w:bookmarkEnd w:id="155"/>
      <w:bookmarkEnd w:id="156"/>
      <w:bookmarkEnd w:id="157"/>
    </w:p>
    <w:p w14:paraId="79A55EE2">
      <w:bookmarkStart w:id="158" w:name="_Toc369077563"/>
      <w:bookmarkStart w:id="159" w:name="_Toc387526299"/>
      <w:bookmarkStart w:id="160" w:name="_Toc363329372"/>
      <w:bookmarkStart w:id="161" w:name="_Toc387526195"/>
      <w:bookmarkStart w:id="162" w:name="_Toc367894800"/>
      <w:bookmarkStart w:id="163" w:name="_Toc19481"/>
      <w:bookmarkStart w:id="164" w:name="_Toc397928565"/>
      <w:bookmarkStart w:id="165" w:name="_Toc368759377"/>
      <w:bookmarkStart w:id="166" w:name="_Toc387526391"/>
      <w:bookmarkStart w:id="167" w:name="_Toc368760429"/>
      <w:bookmarkStart w:id="168" w:name="_Toc119718089"/>
      <w:r>
        <w:rPr>
          <w:rFonts w:hint="eastAsia"/>
        </w:rPr>
        <w:t>2.3.1 在投标截止时间前，招标人可以以“补充答疑”的形式在大丰公共资源电子交易平台（http://ggzy.dafeng.gov.cn/dfweb/default.aspx）上修改招标文件。如果修改招标文件的时间距投标截止时间不足15天，且修改内容影响投标文件编制的，相应延长投标截止时间。</w:t>
      </w:r>
    </w:p>
    <w:p w14:paraId="668FBDE8">
      <w:r>
        <w:rPr>
          <w:rFonts w:hint="eastAsia"/>
        </w:rPr>
        <w:t>2.4 投标人提出异议截止时间</w:t>
      </w:r>
    </w:p>
    <w:p w14:paraId="0B25F00E">
      <w:r>
        <w:rPr>
          <w:rFonts w:hint="eastAsia"/>
        </w:rPr>
        <w:t>2.4.1 潜在投标人对招标文件有异议的，可以在知道或者应知其权益受到损害之日起七个工作日内，以书面形式向采购人提出质疑。</w:t>
      </w:r>
    </w:p>
    <w:p w14:paraId="0629BCCB">
      <w:pPr>
        <w:pStyle w:val="73"/>
        <w:ind w:firstLine="643"/>
      </w:pPr>
      <w:bookmarkStart w:id="169" w:name="_Toc508216895"/>
      <w:bookmarkStart w:id="170" w:name="_Toc11817"/>
      <w:r>
        <w:rPr>
          <w:rFonts w:hint="eastAsia"/>
        </w:rPr>
        <w:t>3.投标文件</w:t>
      </w:r>
      <w:bookmarkEnd w:id="158"/>
      <w:bookmarkEnd w:id="159"/>
      <w:bookmarkEnd w:id="160"/>
      <w:bookmarkEnd w:id="161"/>
      <w:bookmarkEnd w:id="162"/>
      <w:bookmarkEnd w:id="163"/>
      <w:bookmarkEnd w:id="164"/>
      <w:bookmarkEnd w:id="165"/>
      <w:bookmarkEnd w:id="166"/>
      <w:bookmarkEnd w:id="167"/>
      <w:bookmarkEnd w:id="169"/>
      <w:bookmarkEnd w:id="170"/>
    </w:p>
    <w:p w14:paraId="5C3A6178">
      <w:pPr>
        <w:pStyle w:val="6"/>
        <w:ind w:firstLine="118"/>
      </w:pPr>
      <w:bookmarkStart w:id="171" w:name="_Toc387526300"/>
      <w:bookmarkStart w:id="172" w:name="_Toc5625"/>
      <w:bookmarkStart w:id="173" w:name="_Toc387526392"/>
      <w:bookmarkStart w:id="174" w:name="_Toc508216896"/>
      <w:bookmarkStart w:id="175" w:name="_Toc387526196"/>
      <w:bookmarkStart w:id="176" w:name="_Toc397928566"/>
      <w:r>
        <w:rPr>
          <w:rFonts w:hint="eastAsia"/>
        </w:rPr>
        <w:t>3.1 投标文件</w:t>
      </w:r>
      <w:bookmarkEnd w:id="168"/>
      <w:r>
        <w:rPr>
          <w:rFonts w:hint="eastAsia"/>
        </w:rPr>
        <w:t>的组成</w:t>
      </w:r>
      <w:bookmarkEnd w:id="171"/>
      <w:bookmarkEnd w:id="172"/>
      <w:bookmarkEnd w:id="173"/>
      <w:bookmarkEnd w:id="174"/>
      <w:bookmarkEnd w:id="175"/>
      <w:bookmarkEnd w:id="176"/>
    </w:p>
    <w:p w14:paraId="54D1CF86">
      <w:r>
        <w:rPr>
          <w:rFonts w:hint="eastAsia"/>
        </w:rPr>
        <w:t>3.1.1 投标文件组成见“投标人须知前附表”；</w:t>
      </w:r>
    </w:p>
    <w:p w14:paraId="06740455">
      <w:r>
        <w:rPr>
          <w:rFonts w:hint="eastAsia"/>
        </w:rPr>
        <w:t>3.1.2 招标文件“第六章 投标文件格式”有规定格式要求的，投标人应按规定的格式填写并按要求提交相关的证明材料。</w:t>
      </w:r>
    </w:p>
    <w:p w14:paraId="0009C574">
      <w:pPr>
        <w:pStyle w:val="6"/>
        <w:ind w:firstLine="118"/>
      </w:pPr>
      <w:bookmarkStart w:id="177" w:name="_Toc387526393"/>
      <w:bookmarkStart w:id="178" w:name="_Toc508216897"/>
      <w:bookmarkStart w:id="179" w:name="_Toc397928567"/>
      <w:bookmarkStart w:id="180" w:name="_Toc387526197"/>
      <w:bookmarkStart w:id="181" w:name="_Toc10820"/>
      <w:bookmarkStart w:id="182" w:name="_Toc387526301"/>
      <w:r>
        <w:rPr>
          <w:rFonts w:hint="eastAsia"/>
        </w:rPr>
        <w:t>3.2 投标报价</w:t>
      </w:r>
      <w:bookmarkEnd w:id="177"/>
      <w:bookmarkEnd w:id="178"/>
      <w:bookmarkEnd w:id="179"/>
      <w:bookmarkEnd w:id="180"/>
      <w:bookmarkEnd w:id="181"/>
      <w:bookmarkEnd w:id="182"/>
    </w:p>
    <w:p w14:paraId="03C85894">
      <w:r>
        <w:rPr>
          <w:rFonts w:hint="eastAsia"/>
        </w:rPr>
        <w:t>3.2.1投标报价应包含本招标文件中的全部内容所需的所有费用。</w:t>
      </w:r>
    </w:p>
    <w:p w14:paraId="40EF5FAF">
      <w:r>
        <w:rPr>
          <w:rFonts w:hint="eastAsia"/>
        </w:rPr>
        <w:t>3.2.2投标人按投标人须知前附表的具体规定进行报价。</w:t>
      </w:r>
    </w:p>
    <w:p w14:paraId="74CADA3F">
      <w:r>
        <w:rPr>
          <w:rFonts w:hint="eastAsia"/>
        </w:rPr>
        <w:t>3.2.3招标人设有最高投标限价的，投标人的投标报价不得超过最高投标限价，最高投标限价见投标人须知前附表。</w:t>
      </w:r>
    </w:p>
    <w:p w14:paraId="6E86A672">
      <w:r>
        <w:rPr>
          <w:rFonts w:hint="eastAsia"/>
        </w:rPr>
        <w:t>3.2.4计价方式</w:t>
      </w:r>
    </w:p>
    <w:p w14:paraId="7BB33079">
      <w:pPr>
        <w:pStyle w:val="6"/>
        <w:ind w:firstLine="522" w:firstLineChars="249"/>
        <w:rPr>
          <w:rFonts w:hAnsi="Times New Roman" w:eastAsia="宋体"/>
          <w:sz w:val="21"/>
          <w:szCs w:val="21"/>
        </w:rPr>
      </w:pPr>
      <w:bookmarkStart w:id="183" w:name="_Toc387526302"/>
      <w:bookmarkStart w:id="184" w:name="_Toc387526198"/>
      <w:bookmarkStart w:id="185" w:name="_Toc508216898"/>
      <w:bookmarkStart w:id="186" w:name="_Toc387526394"/>
      <w:bookmarkStart w:id="187" w:name="_Toc21008"/>
      <w:bookmarkStart w:id="188" w:name="_Toc397928568"/>
      <w:r>
        <w:rPr>
          <w:rFonts w:hint="eastAsia" w:hAnsi="Times New Roman" w:eastAsia="宋体"/>
          <w:sz w:val="21"/>
          <w:szCs w:val="21"/>
        </w:rPr>
        <w:t>本项目采购采用固定单价合同，投标报价是履行合同的最终结算单价，投标报价是指投标人应充分考虑为完成本项目可能发生的全部费用及利润和税金等包括设计费用、货物制造和服务所使用的材料和部件、备品备件、辅助材料、运输（包括包装、装卸、运输至指定地点的费用以及现场卸货及搬运至安装位置）、安装、调试、样品费用、售后服务费用、人工费、人员保险、服装费、材料费、管理费、招标代理费、咨询费、垃圾清运费、检测费、验收费、培训费、售后服务费、质保费、管理费、服务本身已支付或将支付的进口税、增值税、营业税和其他税费，以及其他交付使用方使用前的所有费用及政策性文件规定等各项应有费用，所有不可预见的全部相关费用（应充分考虑所有风险、责任等），招标文件未列明，而投标人认为必需的费用自行综合考虑到报价。招标文件中另有规定的除外。投标所报单价为最终结算单价，投标人不得再要求追加任何费用。同时，除非合同条款中另有规定，否则，投标单位所报单价在合同实施期间不因市场变化因素而变动。</w:t>
      </w:r>
    </w:p>
    <w:p w14:paraId="55ECEA1B">
      <w:pPr>
        <w:pStyle w:val="6"/>
        <w:ind w:firstLine="118"/>
      </w:pPr>
      <w:r>
        <w:rPr>
          <w:rFonts w:hint="eastAsia"/>
        </w:rPr>
        <w:t>3.3 投标有效期</w:t>
      </w:r>
      <w:bookmarkEnd w:id="183"/>
      <w:bookmarkEnd w:id="184"/>
      <w:bookmarkEnd w:id="185"/>
      <w:bookmarkEnd w:id="186"/>
      <w:bookmarkEnd w:id="187"/>
      <w:bookmarkEnd w:id="188"/>
    </w:p>
    <w:p w14:paraId="1F3298E1">
      <w:r>
        <w:rPr>
          <w:rFonts w:hint="eastAsia"/>
        </w:rPr>
        <w:t>3.3.1 在投标人须知前附表第3.3.1条规定的投标有效期内，投标人不得要求撤销或修改其投标文件。</w:t>
      </w:r>
    </w:p>
    <w:p w14:paraId="15F17536">
      <w:r>
        <w:rPr>
          <w:rFonts w:hint="eastAsia"/>
        </w:rPr>
        <w:t xml:space="preserve">3.3.2出现特殊情况需要延长投标有效期的，招标人应通知所有投标人延长投标有效期，但不得要求或被允许修改或撤销其投标文件；投标人拒绝延长的，其投标失效。 </w:t>
      </w:r>
    </w:p>
    <w:p w14:paraId="434D72A6">
      <w:pPr>
        <w:pStyle w:val="6"/>
        <w:ind w:firstLine="118"/>
      </w:pPr>
      <w:bookmarkStart w:id="189" w:name="_Toc397928569"/>
      <w:bookmarkStart w:id="190" w:name="_Toc387526395"/>
      <w:bookmarkStart w:id="191" w:name="_Toc15701"/>
      <w:bookmarkStart w:id="192" w:name="_Toc387526199"/>
      <w:bookmarkStart w:id="193" w:name="_Toc508216899"/>
      <w:bookmarkStart w:id="194" w:name="_Toc387526303"/>
      <w:r>
        <w:rPr>
          <w:rFonts w:hint="eastAsia"/>
        </w:rPr>
        <w:t>3.4投标保证金</w:t>
      </w:r>
      <w:bookmarkEnd w:id="189"/>
      <w:bookmarkEnd w:id="190"/>
      <w:bookmarkEnd w:id="191"/>
      <w:bookmarkEnd w:id="192"/>
      <w:bookmarkEnd w:id="193"/>
      <w:bookmarkEnd w:id="194"/>
    </w:p>
    <w:p w14:paraId="340FCBB5">
      <w:bookmarkStart w:id="195" w:name="_Toc269310939"/>
      <w:bookmarkStart w:id="196" w:name="_Toc324255909"/>
      <w:bookmarkStart w:id="197" w:name="_Toc339359765"/>
      <w:r>
        <w:rPr>
          <w:rFonts w:hint="eastAsia"/>
        </w:rPr>
        <w:t>参照执行苏财购[2020]52号文《关于做好政府采购支持企业发展有关事项的通知》，本项目不需要缴纳投标保证金。</w:t>
      </w:r>
    </w:p>
    <w:p w14:paraId="7283D4A8">
      <w:pPr>
        <w:pStyle w:val="6"/>
        <w:ind w:firstLine="118"/>
      </w:pPr>
      <w:bookmarkStart w:id="198" w:name="_Toc24952"/>
      <w:bookmarkStart w:id="199" w:name="_Toc397928570"/>
      <w:bookmarkStart w:id="200" w:name="_Toc508216900"/>
      <w:r>
        <w:rPr>
          <w:rFonts w:hint="eastAsia"/>
        </w:rPr>
        <w:t>3.5 资格审查资料</w:t>
      </w:r>
      <w:bookmarkEnd w:id="198"/>
      <w:bookmarkEnd w:id="199"/>
      <w:bookmarkEnd w:id="200"/>
    </w:p>
    <w:p w14:paraId="0F85C431">
      <w:r>
        <w:rPr>
          <w:rFonts w:hint="eastAsia"/>
        </w:rPr>
        <w:t>3.5.1 投标人投标文件中提供的以下资格审查资料必须为扫描件（或电子证照），关键信息齐全、清晰可辨(钢印除外)。</w:t>
      </w:r>
    </w:p>
    <w:p w14:paraId="0D67FCA1">
      <w:r>
        <w:rPr>
          <w:rFonts w:hint="eastAsia"/>
        </w:rPr>
        <w:t>（1）投标人有效的营业执照。</w:t>
      </w:r>
    </w:p>
    <w:p w14:paraId="38F6A997">
      <w:r>
        <w:rPr>
          <w:rFonts w:hint="eastAsia"/>
        </w:rPr>
        <w:t>（2）</w:t>
      </w:r>
      <w:r>
        <w:rPr>
          <w:rFonts w:hint="eastAsia" w:ascii="宋体" w:hAnsi="宋体" w:cs="宋体"/>
        </w:rPr>
        <w:t>投标人提供具备《中华人民共和国政府采购法》第二十二条规定条件的</w:t>
      </w:r>
      <w:r>
        <w:rPr>
          <w:rFonts w:hint="eastAsia"/>
        </w:rPr>
        <w:t>声明函。</w:t>
      </w:r>
    </w:p>
    <w:p w14:paraId="544E0C09">
      <w:r>
        <w:rPr>
          <w:rFonts w:hint="eastAsia"/>
        </w:rPr>
        <w:t>特别提醒:</w:t>
      </w:r>
    </w:p>
    <w:p w14:paraId="3141D373">
      <w:r>
        <w:rPr>
          <w:rFonts w:hint="eastAsia"/>
        </w:rPr>
        <w:t>1、因上述扫描件不清晰无法辨认、或提供的关键信息不全、更新不及时导致被采购人或评标委员会评委认定为无效投标的，其不利的后果由投标人自行承担。</w:t>
      </w:r>
    </w:p>
    <w:p w14:paraId="69497C0E">
      <w:r>
        <w:rPr>
          <w:rFonts w:hint="eastAsia"/>
        </w:rPr>
        <w:t>2、若中标候选人上述有关证书有效性被质疑的，被质疑人出具发证机关证明或通过二维码或证书查询系统能够证明有效即可。</w:t>
      </w:r>
    </w:p>
    <w:p w14:paraId="21840EDD">
      <w:r>
        <w:rPr>
          <w:rFonts w:hint="eastAsia"/>
        </w:rPr>
        <w:t>3、采购人或评标委员会的审查或评审仅针对投标文件提交截止时间前投标人提交的投标文件（包含以链接形式提供的附件资料）进行审查或评审，投标人后续撤回、修改、补充、更新、作废诚信库信息，不影响按照投标文件提交截止时间前投标人提交的投标文件形成的审查或评审结果。投标人若需要更正投标资料信息，应在投标文件提交截止时间前撤回投标文件，重新勾选投标资料后上传。投标文件提交后，投标人不得对投标资料信息进行改动。</w:t>
      </w:r>
      <w:bookmarkStart w:id="201" w:name="_Toc508216901"/>
      <w:bookmarkStart w:id="202" w:name="_Toc387526304"/>
      <w:bookmarkStart w:id="203" w:name="_Toc397928571"/>
      <w:bookmarkStart w:id="204" w:name="_Toc387526396"/>
      <w:bookmarkStart w:id="205" w:name="_Toc387526200"/>
      <w:bookmarkStart w:id="206" w:name="_Toc22895"/>
    </w:p>
    <w:p w14:paraId="5790F103">
      <w:r>
        <w:rPr>
          <w:rFonts w:hint="eastAsia"/>
        </w:rPr>
        <w:t>3.6 投标文件的编制</w:t>
      </w:r>
    </w:p>
    <w:p w14:paraId="4A89D86B">
      <w:r>
        <w:rPr>
          <w:rFonts w:hint="eastAsia"/>
        </w:rPr>
        <w:t>3.6.1 投标文件应按第六章“投标文件格式”进行编写，如有必要可自行增加，作为投标文件的组成部分。</w:t>
      </w:r>
    </w:p>
    <w:p w14:paraId="5648193C">
      <w:r>
        <w:rPr>
          <w:rFonts w:hint="eastAsia"/>
        </w:rPr>
        <w:t>3.6.2 电子投标文件应使用“新点电子交易平台-大丰政府采购系统”可接受的投标文件制作工具进行编制和加密，并在投标文件提交截止时间前上传至“新点电子交易平台-大丰政府采购系统”中。</w:t>
      </w:r>
    </w:p>
    <w:p w14:paraId="5AB103C2">
      <w:r>
        <w:rPr>
          <w:rFonts w:hint="eastAsia"/>
        </w:rPr>
        <w:t>3.6.3 投标文件中涉及从企业诚信库中获取的材料见本章第3.1.1项，投标人应在相应章节中建立相应链接（点击后可自动进入企业诚信库查看相应扫描件，并作为投标文件组成部分）。对已在投标文件中链接的企业诚信库材料进行更新的，投标文件须重新链接获取相应信息。</w:t>
      </w:r>
    </w:p>
    <w:p w14:paraId="4BE5406F">
      <w:r>
        <w:rPr>
          <w:rFonts w:hint="eastAsia"/>
        </w:rPr>
        <w:t>投标人有义务核查投标文件中相应链接，以及从企业诚信库中获取扫描件的有效性和真实性，如存在扫描件无效、不清晰、不完整或链接无效等情形的，投标人应及时更新企业诚信库相关材料，并重新链接获取相应信息。</w:t>
      </w:r>
    </w:p>
    <w:p w14:paraId="2D0589F1">
      <w:r>
        <w:rPr>
          <w:rFonts w:hint="eastAsia"/>
        </w:rPr>
        <w:t>必须从诚信库获取的材料，须通过互联网可以查询，未按本项要求从企业诚信库中获取的，视为未提供，在评标时该材料不予认可。</w:t>
      </w:r>
    </w:p>
    <w:p w14:paraId="5F1B90F5">
      <w:r>
        <w:rPr>
          <w:rFonts w:hint="eastAsia"/>
        </w:rPr>
        <w:t>投标人须知前附表3.1.1条无需从诚信库勾选的材料，编制投标文件时直接提供扫描件上传至投标文件制作工具其他材料栏。</w:t>
      </w:r>
    </w:p>
    <w:p w14:paraId="3AE721E7">
      <w:r>
        <w:rPr>
          <w:rFonts w:hint="eastAsia"/>
        </w:rPr>
        <w:t>3.6.4投标文件应当对招标文件有关工期、投标有效期、质量要求、技术标准和要求、招标范围等实质性内容作出响应。</w:t>
      </w:r>
    </w:p>
    <w:p w14:paraId="270E908F">
      <w:pPr>
        <w:pStyle w:val="6"/>
        <w:ind w:firstLine="118"/>
      </w:pPr>
      <w:r>
        <w:rPr>
          <w:rFonts w:hint="eastAsia"/>
        </w:rPr>
        <w:t>3.6.5补充内容：投标文件编制的其它要求详见投标人须知前附表。</w:t>
      </w:r>
    </w:p>
    <w:p w14:paraId="108CAA15">
      <w:pPr>
        <w:pStyle w:val="6"/>
        <w:ind w:firstLine="118"/>
      </w:pPr>
      <w:r>
        <w:rPr>
          <w:rFonts w:hint="eastAsia"/>
        </w:rPr>
        <w:t>3.7 备选投标方案</w:t>
      </w:r>
      <w:bookmarkEnd w:id="195"/>
      <w:bookmarkEnd w:id="196"/>
      <w:bookmarkEnd w:id="197"/>
      <w:bookmarkEnd w:id="201"/>
      <w:bookmarkEnd w:id="202"/>
      <w:bookmarkEnd w:id="203"/>
      <w:bookmarkEnd w:id="204"/>
      <w:bookmarkEnd w:id="205"/>
      <w:bookmarkEnd w:id="206"/>
    </w:p>
    <w:p w14:paraId="6BC41B50">
      <w:r>
        <w:rPr>
          <w:rFonts w:hint="eastAsia"/>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招标人可以接受该备选投标方案。</w:t>
      </w:r>
      <w:bookmarkStart w:id="207" w:name="_Toc363329373"/>
      <w:bookmarkStart w:id="208" w:name="_Toc184635074"/>
      <w:bookmarkStart w:id="209" w:name="_Toc368760430"/>
      <w:bookmarkStart w:id="210" w:name="_Toc387526202"/>
      <w:bookmarkStart w:id="211" w:name="_Toc368759378"/>
      <w:bookmarkStart w:id="212" w:name="_Toc24421"/>
      <w:bookmarkStart w:id="213" w:name="_Toc387526306"/>
      <w:bookmarkStart w:id="214" w:name="_Toc508216903"/>
      <w:bookmarkStart w:id="215" w:name="_Toc387526398"/>
      <w:bookmarkStart w:id="216" w:name="_Toc367894801"/>
      <w:bookmarkStart w:id="217" w:name="_Toc397928573"/>
      <w:bookmarkStart w:id="218" w:name="_Toc369077564"/>
      <w:bookmarkStart w:id="219" w:name="_Toc363329374"/>
      <w:bookmarkStart w:id="220" w:name="_Toc367894802"/>
      <w:bookmarkStart w:id="221" w:name="_Toc368759379"/>
      <w:bookmarkStart w:id="222" w:name="_Toc184635075"/>
    </w:p>
    <w:p w14:paraId="447B1ADA">
      <w:bookmarkStart w:id="223" w:name="_Toc5910"/>
      <w:r>
        <w:rPr>
          <w:rFonts w:hint="eastAsia"/>
        </w:rPr>
        <w:t>4.投标</w:t>
      </w:r>
      <w:bookmarkEnd w:id="207"/>
      <w:bookmarkEnd w:id="208"/>
      <w:bookmarkEnd w:id="209"/>
      <w:bookmarkEnd w:id="210"/>
      <w:bookmarkEnd w:id="211"/>
      <w:bookmarkEnd w:id="212"/>
      <w:bookmarkEnd w:id="213"/>
      <w:bookmarkEnd w:id="214"/>
      <w:bookmarkEnd w:id="215"/>
      <w:bookmarkEnd w:id="216"/>
      <w:bookmarkEnd w:id="217"/>
      <w:bookmarkEnd w:id="218"/>
      <w:bookmarkEnd w:id="223"/>
    </w:p>
    <w:p w14:paraId="3C3FF5FC">
      <w:r>
        <w:rPr>
          <w:rFonts w:hint="eastAsia"/>
        </w:rPr>
        <w:t>4.1 投标文件的加密和数字证书认证</w:t>
      </w:r>
    </w:p>
    <w:p w14:paraId="1605AAF1">
      <w:r>
        <w:rPr>
          <w:rFonts w:hint="eastAsia"/>
        </w:rPr>
        <w:t>4.1.1 投标文件应使用数字证书认证并加密。</w:t>
      </w:r>
    </w:p>
    <w:p w14:paraId="129F737A">
      <w:r>
        <w:rPr>
          <w:rFonts w:hint="eastAsia"/>
        </w:rPr>
        <w:t>4.1.2 未按本章第4.1.1项要求加密和数字证书认证的投标文件，招标人拒收。</w:t>
      </w:r>
    </w:p>
    <w:p w14:paraId="3ECA392B">
      <w:r>
        <w:rPr>
          <w:rFonts w:hint="eastAsia"/>
        </w:rPr>
        <w:t>4.2 投标文件的提交</w:t>
      </w:r>
    </w:p>
    <w:p w14:paraId="076CEC95">
      <w:r>
        <w:rPr>
          <w:rFonts w:hint="eastAsia"/>
        </w:rPr>
        <w:t>4.2.1 投标人应在招标文件规定的投标文件提交截止时间前完成投标文件的提交。电子档投标文件的提交是指使用新点电子交易平台-大丰政府采购系统在投标文件提交截止时间前完成投标文件的上传。</w:t>
      </w:r>
    </w:p>
    <w:p w14:paraId="38FC435B">
      <w:r>
        <w:rPr>
          <w:rFonts w:hint="eastAsia"/>
        </w:rPr>
        <w:t>4.2.2 投标人提交投标文件的地点：见投标人须知前附表。</w:t>
      </w:r>
    </w:p>
    <w:p w14:paraId="22094DD9">
      <w:r>
        <w:rPr>
          <w:rFonts w:hint="eastAsia"/>
        </w:rPr>
        <w:t>4.2.3 除招标文件另有规定外，投标人所提交的投标文件不予退还。</w:t>
      </w:r>
    </w:p>
    <w:p w14:paraId="1877B56D">
      <w:r>
        <w:rPr>
          <w:rFonts w:hint="eastAsia"/>
        </w:rPr>
        <w:t>4.2.4中标单位在中标结果公告后、领取中标通知书前必须提供与投标文件电子标书一致的纸质投标文件加盖投标人单位鲜红公章并装订成册（共五套：正本一套、副本四套）以供招标人、招标代理机构及公共资源交易中心存档。纸质投标文件应使用CA系统打印，且必须保证与评标时的电子标书完全一致。</w:t>
      </w:r>
    </w:p>
    <w:p w14:paraId="604BDE50">
      <w:r>
        <w:rPr>
          <w:rFonts w:hint="eastAsia"/>
        </w:rPr>
        <w:t>4.2.5有下列情形之一的投标文件拒收并退回：</w:t>
      </w:r>
    </w:p>
    <w:p w14:paraId="5E0407CC">
      <w:r>
        <w:rPr>
          <w:rFonts w:hint="eastAsia"/>
        </w:rPr>
        <w:t>1）投标文件逾期提交的或者未在指定时间内完成投标文件解密的。</w:t>
      </w:r>
    </w:p>
    <w:p w14:paraId="26F30C40">
      <w:r>
        <w:rPr>
          <w:rFonts w:hint="eastAsia"/>
        </w:rPr>
        <w:t>2）投标人CA锁无法解密投标文件的。</w:t>
      </w:r>
    </w:p>
    <w:p w14:paraId="0852DF2E">
      <w:r>
        <w:rPr>
          <w:rFonts w:hint="eastAsia"/>
        </w:rPr>
        <w:t>4.3 投标文件的修改与撤回</w:t>
      </w:r>
    </w:p>
    <w:p w14:paraId="673661FF">
      <w:r>
        <w:rPr>
          <w:rFonts w:hint="eastAsia"/>
        </w:rPr>
        <w:t>4.3.1 在投标人须知前附表规定的投标文件提交截止时间前，投标人可以多次修改或撤回已提交的投标文件，最终投标文件以投标文件提交截止时间前完成上传至新点电子交易平台-大丰政府采购系统最后一份投标文件为准。</w:t>
      </w:r>
    </w:p>
    <w:p w14:paraId="6C8ADD21">
      <w:r>
        <w:rPr>
          <w:rFonts w:hint="eastAsia"/>
        </w:rPr>
        <w:t>4.3.2 修改的投标文件应按照本章第3.6条、第4.2条规定进行编制和提交。</w:t>
      </w:r>
    </w:p>
    <w:p w14:paraId="14B4246E">
      <w:r>
        <w:rPr>
          <w:rFonts w:hint="eastAsia"/>
        </w:rPr>
        <w:t>4.3.3投标文件提交截止时间之后，在投标有效期内，投标人不得修改或撤回投标文件。</w:t>
      </w:r>
    </w:p>
    <w:p w14:paraId="12874B08">
      <w:pPr>
        <w:pStyle w:val="73"/>
        <w:ind w:firstLine="643"/>
      </w:pPr>
      <w:bookmarkStart w:id="224" w:name="_Toc368760431"/>
      <w:bookmarkStart w:id="225" w:name="_Toc387526310"/>
      <w:bookmarkStart w:id="226" w:name="_Toc22329"/>
      <w:bookmarkStart w:id="227" w:name="_Toc397928578"/>
      <w:bookmarkStart w:id="228" w:name="_Toc369077565"/>
      <w:bookmarkStart w:id="229" w:name="_Toc387526402"/>
      <w:bookmarkStart w:id="230" w:name="_Toc508216908"/>
      <w:bookmarkStart w:id="231" w:name="_Toc387526206"/>
      <w:bookmarkStart w:id="232" w:name="_Toc16167"/>
      <w:bookmarkStart w:id="233" w:name="_Toc246996210"/>
      <w:bookmarkStart w:id="234" w:name="_Toc368759381"/>
      <w:bookmarkStart w:id="235" w:name="_Toc152042342"/>
      <w:bookmarkStart w:id="236" w:name="_Toc152045566"/>
      <w:bookmarkStart w:id="237" w:name="_Toc179632584"/>
      <w:bookmarkStart w:id="238" w:name="_Toc246996953"/>
      <w:bookmarkStart w:id="239" w:name="_Toc247085724"/>
      <w:bookmarkStart w:id="240" w:name="_Toc366679697"/>
      <w:bookmarkStart w:id="241" w:name="_Toc144974534"/>
      <w:r>
        <w:rPr>
          <w:rFonts w:hint="eastAsia"/>
        </w:rPr>
        <w:t>5.开标</w:t>
      </w:r>
      <w:bookmarkEnd w:id="224"/>
      <w:bookmarkEnd w:id="225"/>
      <w:bookmarkEnd w:id="226"/>
      <w:bookmarkEnd w:id="227"/>
      <w:bookmarkEnd w:id="228"/>
      <w:bookmarkEnd w:id="229"/>
      <w:bookmarkEnd w:id="230"/>
      <w:bookmarkEnd w:id="231"/>
      <w:bookmarkEnd w:id="232"/>
    </w:p>
    <w:p w14:paraId="4148749D">
      <w:bookmarkStart w:id="242" w:name="_Toc22517"/>
      <w:bookmarkStart w:id="243" w:name="_Toc387526209"/>
      <w:bookmarkStart w:id="244" w:name="_Toc387526313"/>
      <w:bookmarkStart w:id="245" w:name="_Toc369077566"/>
      <w:bookmarkStart w:id="246" w:name="_Toc184635076"/>
      <w:bookmarkStart w:id="247" w:name="_Toc367894803"/>
      <w:bookmarkStart w:id="248" w:name="_Toc368759380"/>
      <w:bookmarkStart w:id="249" w:name="_Toc397928581"/>
      <w:bookmarkStart w:id="250" w:name="_Toc387526405"/>
      <w:bookmarkStart w:id="251" w:name="_Toc363329375"/>
      <w:bookmarkStart w:id="252" w:name="_Toc368760432"/>
      <w:r>
        <w:rPr>
          <w:rFonts w:hint="eastAsia"/>
        </w:rPr>
        <w:t>5.1 开标时间、地点和投标人参会代表</w:t>
      </w:r>
    </w:p>
    <w:p w14:paraId="01D21D39">
      <w:r>
        <w:rPr>
          <w:rFonts w:hint="eastAsia"/>
        </w:rPr>
        <w:t>5.1.1详见投标人须知前附表规定的时间、地点和投标人参会代表；</w:t>
      </w:r>
    </w:p>
    <w:p w14:paraId="59183E92">
      <w:r>
        <w:rPr>
          <w:rFonts w:hint="eastAsia"/>
        </w:rPr>
        <w:t>5.2 开标程序</w:t>
      </w:r>
    </w:p>
    <w:p w14:paraId="5AFCADA2">
      <w:r>
        <w:rPr>
          <w:rFonts w:hint="eastAsia"/>
        </w:rPr>
        <w:t>A、投标文件解密</w:t>
      </w:r>
    </w:p>
    <w:p w14:paraId="4C7F6096">
      <w:pPr>
        <w:rPr>
          <w:b/>
          <w:bCs/>
        </w:rPr>
      </w:pPr>
      <w:r>
        <w:rPr>
          <w:rFonts w:hint="eastAsia"/>
        </w:rPr>
        <w:t>投标文件提交截止时间后，招标人通过开标大厅系统发出投标文件解密的指令，投标人解密时间限定在开标大厅系统发出投标文件解密指令后15分钟内完成。投标人未按时完成投标文件解密或解密未成功的，均被视为投标人放弃本次投标（无效投标）。</w:t>
      </w:r>
      <w:r>
        <w:rPr>
          <w:rFonts w:hint="eastAsia"/>
          <w:bCs/>
        </w:rPr>
        <w:t>因投标人自身设备故障或自身原因导致无法完成投标的，对其形成的不利后果及责任由投标人自行承担。</w:t>
      </w:r>
      <w:r>
        <w:rPr>
          <w:rFonts w:hint="eastAsia"/>
        </w:rPr>
        <w:t>解密完成后，投标人可自行决定是否继续参加开（唱）标会议，投标人未参加开标的，视同认可开标结果。</w:t>
      </w:r>
    </w:p>
    <w:p w14:paraId="00EC6CFE">
      <w:r>
        <w:rPr>
          <w:rFonts w:hint="eastAsia"/>
        </w:rPr>
        <w:t>B、开（唱）标</w:t>
      </w:r>
    </w:p>
    <w:p w14:paraId="603DE98F">
      <w:r>
        <w:rPr>
          <w:rFonts w:hint="eastAsia"/>
        </w:rPr>
        <w:t>1、宣布开标纪律；</w:t>
      </w:r>
    </w:p>
    <w:p w14:paraId="1AF06310">
      <w:r>
        <w:rPr>
          <w:rFonts w:hint="eastAsia"/>
        </w:rPr>
        <w:t>2、宣布招标人、招标代理机构、招投标监管部门、交易中心出席开标会的有关人员姓名；</w:t>
      </w:r>
    </w:p>
    <w:p w14:paraId="169DB6B8">
      <w:r>
        <w:rPr>
          <w:rFonts w:hint="eastAsia"/>
        </w:rPr>
        <w:t>3、招标人（招标代理机构）导入投标文件；</w:t>
      </w:r>
    </w:p>
    <w:p w14:paraId="467E103F">
      <w:r>
        <w:rPr>
          <w:rFonts w:hint="eastAsia"/>
        </w:rPr>
        <w:t>4、当众唱标，宣读投标人名称、标段名称、质量标准、交货期（服务期）、报价、项目负责人及其他内容；</w:t>
      </w:r>
    </w:p>
    <w:p w14:paraId="100E2115">
      <w:r>
        <w:rPr>
          <w:rFonts w:hint="eastAsia"/>
        </w:rPr>
        <w:t>5、投标人对开标有异议的，应当在开标现场提出，由招标人答复并制作记录，未提出异议的视为认同；</w:t>
      </w:r>
    </w:p>
    <w:p w14:paraId="40BE0124">
      <w:r>
        <w:rPr>
          <w:rFonts w:hint="eastAsia"/>
        </w:rPr>
        <w:t>6、开标会议结束。</w:t>
      </w:r>
    </w:p>
    <w:p w14:paraId="19FFE46B">
      <w:r>
        <w:rPr>
          <w:rFonts w:hint="eastAsia"/>
        </w:rPr>
        <w:t>5.3 特殊情况处理</w:t>
      </w:r>
    </w:p>
    <w:p w14:paraId="363CE2B2">
      <w:r>
        <w:rPr>
          <w:rFonts w:hint="eastAsia"/>
        </w:rPr>
        <w:t>5.3.1因“网上开评标系统”故障，开标活动无法正常进行时，招标人可根据实际情况相应延迟解密时间或调整开标时间。“网上开评标系统”故障是指非投标人原因造成所有投标人电子投标文件均无法解密的情形。部分投标文件无法解密的，不适用该条款。</w:t>
      </w:r>
    </w:p>
    <w:p w14:paraId="12C1D4E2">
      <w:r>
        <w:rPr>
          <w:rFonts w:hint="eastAsia"/>
        </w:rPr>
        <w:t>5.3.2 因投标人原因造成投标文件在规定的时间内未完成解密的，该投标将被拒绝。</w:t>
      </w:r>
    </w:p>
    <w:p w14:paraId="5E3E1D8C">
      <w:pPr>
        <w:rPr>
          <w:b/>
          <w:bCs/>
        </w:rPr>
      </w:pPr>
      <w:r>
        <w:rPr>
          <w:rFonts w:hint="eastAsia"/>
        </w:rPr>
        <w:t>5.3.3 投标人对开标有异议的，应当在开标系统中当场提出，招标人当场予以答复，并制作记录。</w:t>
      </w:r>
    </w:p>
    <w:p w14:paraId="10D2D4CF">
      <w:pPr>
        <w:pStyle w:val="73"/>
        <w:ind w:firstLine="643"/>
      </w:pPr>
      <w:bookmarkStart w:id="253" w:name="_Toc8285"/>
      <w:r>
        <w:rPr>
          <w:rFonts w:hint="eastAsia"/>
        </w:rPr>
        <w:t>6.评标</w:t>
      </w:r>
      <w:bookmarkEnd w:id="242"/>
      <w:bookmarkEnd w:id="243"/>
      <w:bookmarkEnd w:id="244"/>
      <w:bookmarkEnd w:id="245"/>
      <w:bookmarkEnd w:id="246"/>
      <w:bookmarkEnd w:id="247"/>
      <w:bookmarkEnd w:id="248"/>
      <w:bookmarkEnd w:id="249"/>
      <w:bookmarkEnd w:id="250"/>
      <w:bookmarkEnd w:id="251"/>
      <w:bookmarkEnd w:id="252"/>
      <w:bookmarkEnd w:id="253"/>
      <w:bookmarkStart w:id="254" w:name="_Toc387526406"/>
      <w:bookmarkStart w:id="255" w:name="_Toc387526314"/>
      <w:bookmarkStart w:id="256" w:name="_Toc397928582"/>
      <w:bookmarkStart w:id="257" w:name="_Toc9909"/>
      <w:bookmarkStart w:id="258" w:name="_Toc387526210"/>
    </w:p>
    <w:p w14:paraId="5E33A57B">
      <w:pPr>
        <w:pStyle w:val="6"/>
        <w:ind w:firstLine="118"/>
      </w:pPr>
      <w:bookmarkStart w:id="259" w:name="_Toc508216911"/>
      <w:r>
        <w:rPr>
          <w:rFonts w:hint="eastAsia"/>
        </w:rPr>
        <w:t>6.1 评标委员会</w:t>
      </w:r>
      <w:bookmarkEnd w:id="254"/>
      <w:bookmarkEnd w:id="255"/>
      <w:bookmarkEnd w:id="256"/>
      <w:bookmarkEnd w:id="257"/>
      <w:bookmarkEnd w:id="258"/>
      <w:bookmarkEnd w:id="259"/>
    </w:p>
    <w:p w14:paraId="52F62A02">
      <w:bookmarkStart w:id="260" w:name="_Toc339359778"/>
      <w:bookmarkStart w:id="261" w:name="_Toc324255922"/>
      <w:bookmarkStart w:id="262" w:name="_Toc269310951"/>
      <w:r>
        <w:rPr>
          <w:rFonts w:hint="eastAsia"/>
        </w:rPr>
        <w:t>6.1.1 评标由招标人依法组建的评标委员会负责。评标委员会由招标人代表以及相关专业方面的专家组成。评标委员会成员人数以及相关专业方面专家的确定方式见投标人须知前附表。</w:t>
      </w:r>
    </w:p>
    <w:p w14:paraId="637289D8">
      <w:r>
        <w:rPr>
          <w:rFonts w:hint="eastAsia"/>
        </w:rPr>
        <w:t>6.1.2 评标委员会成员有下列情形之一的，应当回避：</w:t>
      </w:r>
    </w:p>
    <w:p w14:paraId="1BEE4843">
      <w:r>
        <w:rPr>
          <w:rFonts w:hint="eastAsia"/>
        </w:rPr>
        <w:t>（1）投标人或投标人主要负责人的近亲属；</w:t>
      </w:r>
    </w:p>
    <w:p w14:paraId="15651E32">
      <w:r>
        <w:rPr>
          <w:rFonts w:hint="eastAsia"/>
        </w:rPr>
        <w:t>（2）项目主管部门或者行政监督部门的人员；</w:t>
      </w:r>
    </w:p>
    <w:p w14:paraId="3AFB7FA9">
      <w:r>
        <w:rPr>
          <w:rFonts w:hint="eastAsia"/>
        </w:rPr>
        <w:t>（3）与投标人有经济利益关系；</w:t>
      </w:r>
    </w:p>
    <w:p w14:paraId="1091A332">
      <w:r>
        <w:rPr>
          <w:rFonts w:hint="eastAsia"/>
        </w:rPr>
        <w:t>（4）曾因在招标、评标以及其他与招标投标有关活动中从事违法行为而受过行政处罚或刑事处罚的，且在处罚期内。</w:t>
      </w:r>
    </w:p>
    <w:p w14:paraId="784AD174">
      <w:pPr>
        <w:pStyle w:val="6"/>
        <w:ind w:firstLine="118"/>
      </w:pPr>
      <w:bookmarkStart w:id="263" w:name="_Toc387526211"/>
      <w:bookmarkStart w:id="264" w:name="_Toc508216912"/>
      <w:bookmarkStart w:id="265" w:name="_Toc12316"/>
      <w:bookmarkStart w:id="266" w:name="_Toc397928583"/>
      <w:bookmarkStart w:id="267" w:name="_Toc387526315"/>
      <w:bookmarkStart w:id="268" w:name="_Toc387526407"/>
      <w:r>
        <w:rPr>
          <w:rFonts w:hint="eastAsia"/>
        </w:rPr>
        <w:t>6.2</w:t>
      </w:r>
      <w:bookmarkEnd w:id="260"/>
      <w:bookmarkEnd w:id="261"/>
      <w:bookmarkEnd w:id="262"/>
      <w:r>
        <w:rPr>
          <w:rFonts w:hint="eastAsia"/>
        </w:rPr>
        <w:t xml:space="preserve"> 评标原则</w:t>
      </w:r>
      <w:bookmarkEnd w:id="263"/>
      <w:bookmarkEnd w:id="264"/>
      <w:bookmarkEnd w:id="265"/>
      <w:bookmarkEnd w:id="266"/>
      <w:bookmarkEnd w:id="267"/>
      <w:bookmarkEnd w:id="268"/>
    </w:p>
    <w:p w14:paraId="3446AE9F">
      <w:r>
        <w:rPr>
          <w:rFonts w:hint="eastAsia"/>
        </w:rPr>
        <w:t>评标活动遵循公平、公正、科学和择优的原则。</w:t>
      </w:r>
    </w:p>
    <w:p w14:paraId="370B8C6E">
      <w:pPr>
        <w:pStyle w:val="6"/>
        <w:ind w:firstLine="118"/>
      </w:pPr>
      <w:bookmarkStart w:id="269" w:name="_Toc246996952"/>
      <w:bookmarkStart w:id="270" w:name="_Toc152042341"/>
      <w:bookmarkStart w:id="271" w:name="_Toc387526408"/>
      <w:bookmarkStart w:id="272" w:name="_Toc397928584"/>
      <w:bookmarkStart w:id="273" w:name="_Toc247085723"/>
      <w:bookmarkStart w:id="274" w:name="_Toc387526212"/>
      <w:bookmarkStart w:id="275" w:name="_Toc6500"/>
      <w:bookmarkStart w:id="276" w:name="_Toc179632583"/>
      <w:bookmarkStart w:id="277" w:name="_Toc387526316"/>
      <w:bookmarkStart w:id="278" w:name="_Toc508216913"/>
      <w:bookmarkStart w:id="279" w:name="_Toc246996209"/>
      <w:bookmarkStart w:id="280" w:name="_Toc152045565"/>
      <w:bookmarkStart w:id="281" w:name="_Toc366679696"/>
      <w:bookmarkStart w:id="282" w:name="_Toc144974533"/>
      <w:r>
        <w:rPr>
          <w:rFonts w:hint="eastAsia"/>
        </w:rPr>
        <w:t>6.3 评标</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092F8FDA">
      <w:r>
        <w:rPr>
          <w:rFonts w:hint="eastAsia"/>
        </w:rPr>
        <w:t>评标委员会按照第三章“评标办法”规定的方法、评审因素、标准和程序对投标文件进行评审。第三章“评标办法”没有规定的方法、评审因素和标准，不作为评标依据。</w:t>
      </w:r>
    </w:p>
    <w:p w14:paraId="7D13D08C">
      <w:pPr>
        <w:pStyle w:val="6"/>
        <w:ind w:firstLine="118"/>
      </w:pPr>
      <w:bookmarkStart w:id="283" w:name="_Toc508216915"/>
      <w:r>
        <w:rPr>
          <w:rFonts w:hint="eastAsia"/>
        </w:rPr>
        <w:t>6.4无效标书条款</w:t>
      </w:r>
      <w:bookmarkEnd w:id="283"/>
    </w:p>
    <w:p w14:paraId="3E09BA70">
      <w:r>
        <w:rPr>
          <w:rFonts w:hint="eastAsia"/>
        </w:rPr>
        <w:t>投标文件有下列情况之一的，属于重大偏差，视为未能对招标文件作出实质性响应，应当作为无效投标予以否决：</w:t>
      </w:r>
    </w:p>
    <w:p w14:paraId="22200C8D">
      <w:r>
        <w:rPr>
          <w:rFonts w:hint="eastAsia"/>
        </w:rPr>
        <w:t>（1）投标文件中的投标函未加盖投标人的公章；</w:t>
      </w:r>
    </w:p>
    <w:p w14:paraId="7B26F86C">
      <w:r>
        <w:rPr>
          <w:rFonts w:hint="eastAsia"/>
        </w:rPr>
        <w:t>（2）投标文件中的投标函无企业法定代表人（或企业法定代表人委托代理人）印章（或签字）的；</w:t>
      </w:r>
    </w:p>
    <w:p w14:paraId="10DF1D64">
      <w:r>
        <w:rPr>
          <w:rFonts w:hint="eastAsia"/>
        </w:rPr>
        <w:t>（3）如投标函由企业法定代表人委托代理人加盖印章（或签字）的，企业法定代表人委托代理人没有合法、有效的委托书（原件）的；</w:t>
      </w:r>
    </w:p>
    <w:p w14:paraId="500812AA">
      <w:r>
        <w:rPr>
          <w:rFonts w:hint="eastAsia"/>
        </w:rPr>
        <w:t xml:space="preserve">（4）投标人资格条件不符合国家有关规定或招标文件要求的； </w:t>
      </w:r>
    </w:p>
    <w:p w14:paraId="7109A9BE">
      <w:r>
        <w:rPr>
          <w:rFonts w:hint="eastAsia"/>
        </w:rPr>
        <w:t>（5）投标文件技术规格中一般参数超出招标文件允许偏离的最大范围或最高项数的；</w:t>
      </w:r>
    </w:p>
    <w:p w14:paraId="2DCDFEC9">
      <w:r>
        <w:rPr>
          <w:rFonts w:hint="eastAsia"/>
        </w:rPr>
        <w:t xml:space="preserve">（6）投标报价高于招标文件设定的最高投标限价的； </w:t>
      </w:r>
    </w:p>
    <w:p w14:paraId="1AAEABA1">
      <w:r>
        <w:rPr>
          <w:rFonts w:hint="eastAsia"/>
        </w:rPr>
        <w:t>（7）投标文件的组成不符合招标文件要求的；</w:t>
      </w:r>
    </w:p>
    <w:p w14:paraId="49820C21">
      <w:r>
        <w:rPr>
          <w:rFonts w:hint="eastAsia"/>
        </w:rPr>
        <w:t>（8）投标人递交两份或多份内容不同的投标文件，或在一份投标文件中对同一招标货物报有两个或多个报价，且未声明哪一个为最终报价的，按招标文件规定提交备选投标方案的除外；</w:t>
      </w:r>
    </w:p>
    <w:p w14:paraId="310076EE">
      <w:r>
        <w:rPr>
          <w:rFonts w:hint="eastAsia"/>
        </w:rPr>
        <w:t xml:space="preserve">（9）与招标文件提供的货物（设备）清单中的清单数量或规格不相同的；  </w:t>
      </w:r>
    </w:p>
    <w:p w14:paraId="40FB0279">
      <w:r>
        <w:rPr>
          <w:rFonts w:hint="eastAsia"/>
        </w:rPr>
        <w:t xml:space="preserve">（10）投标文件载明的招标项目完成期限超过招标文件规定的期限的，或交货期达不到招标文件规定期限的要求； </w:t>
      </w:r>
    </w:p>
    <w:p w14:paraId="5FE2337B">
      <w:r>
        <w:rPr>
          <w:rFonts w:hint="eastAsia"/>
        </w:rPr>
        <w:t xml:space="preserve">（11）明显不符合技术规范、技术标准的要求的； </w:t>
      </w:r>
    </w:p>
    <w:p w14:paraId="07E843AD">
      <w:r>
        <w:rPr>
          <w:rFonts w:hint="eastAsia"/>
        </w:rPr>
        <w:t xml:space="preserve">（12）投标文件载明的货物包装方式、检验标准和方法等不符合招标文件的要求的； </w:t>
      </w:r>
    </w:p>
    <w:p w14:paraId="023463BD">
      <w:r>
        <w:rPr>
          <w:rFonts w:hint="eastAsia"/>
        </w:rPr>
        <w:t>（13）投标文件提出的工程验收、计量、价款结算和付款方式不能满足招标文件要求或招标人不能接受；</w:t>
      </w:r>
    </w:p>
    <w:p w14:paraId="6E312EED">
      <w:r>
        <w:rPr>
          <w:rFonts w:hint="eastAsia"/>
        </w:rPr>
        <w:t xml:space="preserve">（14）不同投标人的投标文件出现了评标委员会认为不应当雷同的情况的； </w:t>
      </w:r>
    </w:p>
    <w:p w14:paraId="677A060A">
      <w:r>
        <w:rPr>
          <w:rFonts w:hint="eastAsia"/>
        </w:rPr>
        <w:t>（15）以他人的名义投标、串通投标、以行贿手段谋取中标或者以其他弄虚作假方式投标的；</w:t>
      </w:r>
    </w:p>
    <w:p w14:paraId="7EFB955C">
      <w:r>
        <w:rPr>
          <w:rFonts w:hint="eastAsia"/>
        </w:rPr>
        <w:t>（16）投标人投标文件中提供的资格审查资料非有效扫描件（或电子证照），关键信息不齐全、不清晰可辨(钢印除外)；</w:t>
      </w:r>
    </w:p>
    <w:p w14:paraId="7B388EEE">
      <w:r>
        <w:rPr>
          <w:rFonts w:hint="eastAsia"/>
        </w:rPr>
        <w:t>（17）未按招标文件要求提供电子投标文件，或者电子投标文件未能解密或超时解密的。因招投标系统故障因素导致所有投标电子投标文件均不能解密的除外。</w:t>
      </w:r>
    </w:p>
    <w:p w14:paraId="4B56E7EA">
      <w:r>
        <w:rPr>
          <w:rFonts w:hint="eastAsia"/>
        </w:rPr>
        <w:t>凡招标文件未明确的无效标条件，评标委员会不得作为判定无效标的依据，评标委员会也不得以不符合招标文件中规定的其他实质性要求作为判定无效标的依据。</w:t>
      </w:r>
    </w:p>
    <w:p w14:paraId="658309E0">
      <w:pPr>
        <w:pStyle w:val="6"/>
        <w:ind w:firstLine="118"/>
      </w:pPr>
      <w:bookmarkStart w:id="284" w:name="_Toc508216916"/>
      <w:r>
        <w:rPr>
          <w:rFonts w:hint="eastAsia"/>
        </w:rPr>
        <w:t>6.6重新招标</w:t>
      </w:r>
      <w:bookmarkEnd w:id="284"/>
    </w:p>
    <w:p w14:paraId="575211A0">
      <w:r>
        <w:rPr>
          <w:rFonts w:hint="eastAsia"/>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14:paraId="4CFB1563">
      <w:r>
        <w:rPr>
          <w:rFonts w:hint="eastAsia"/>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14:paraId="5650AA6D">
      <w:pPr>
        <w:pStyle w:val="73"/>
        <w:ind w:firstLine="643"/>
      </w:pPr>
      <w:bookmarkStart w:id="285" w:name="_Toc22985"/>
      <w:bookmarkStart w:id="286" w:name="_Toc387526409"/>
      <w:bookmarkStart w:id="287" w:name="_Toc10927"/>
      <w:bookmarkStart w:id="288" w:name="_Toc387526317"/>
      <w:bookmarkStart w:id="289" w:name="_Toc397928586"/>
      <w:bookmarkStart w:id="290" w:name="_Toc508216917"/>
      <w:bookmarkStart w:id="291" w:name="_Toc387526213"/>
      <w:bookmarkStart w:id="292" w:name="_Toc368760433"/>
      <w:bookmarkStart w:id="293" w:name="_Toc369077567"/>
      <w:r>
        <w:rPr>
          <w:rFonts w:hint="eastAsia"/>
        </w:rPr>
        <w:t>7.评标结果公示</w:t>
      </w:r>
      <w:bookmarkEnd w:id="285"/>
      <w:bookmarkEnd w:id="286"/>
      <w:bookmarkEnd w:id="287"/>
      <w:bookmarkEnd w:id="288"/>
      <w:bookmarkEnd w:id="289"/>
      <w:bookmarkEnd w:id="290"/>
      <w:bookmarkEnd w:id="291"/>
    </w:p>
    <w:p w14:paraId="0DC99566">
      <w:r>
        <w:rPr>
          <w:rFonts w:hint="eastAsia"/>
        </w:rPr>
        <w:t>7.1 招标代理机构应当在评标结束后2个工作日内将评标报告送</w:t>
      </w:r>
      <w:r>
        <w:t>招标</w:t>
      </w:r>
      <w:r>
        <w:rPr>
          <w:rFonts w:hint="eastAsia"/>
        </w:rPr>
        <w:t>人。</w:t>
      </w:r>
      <w:r>
        <w:t>招标</w:t>
      </w:r>
      <w:r>
        <w:rPr>
          <w:rFonts w:hint="eastAsia"/>
        </w:rPr>
        <w:t>人应当自收到评标报告之日起5个工作日内，在评标报告确定的中标候选人名单中按顺序确定中标人，中标人确定之日起2个工作日内在与招标公告相同的发布媒介上对评标结果进行公告。</w:t>
      </w:r>
    </w:p>
    <w:p w14:paraId="369DEB8B">
      <w:r>
        <w:rPr>
          <w:rFonts w:hint="eastAsia"/>
        </w:rPr>
        <w:t>7.2 投标人或者其他利害关系人对评标结果有异议的，投标人认为评标结果使自己的权益受到损害的，可以在知道或者应知其权益受到损害之日起7个工作日内，以书面形式向招标人提出质疑。招标人自收到异议之日起7个工作日内作出答复。</w:t>
      </w:r>
    </w:p>
    <w:p w14:paraId="3948DECB">
      <w:pPr>
        <w:pStyle w:val="73"/>
        <w:ind w:firstLine="643"/>
      </w:pPr>
      <w:bookmarkStart w:id="294" w:name="_Toc387526410"/>
      <w:bookmarkStart w:id="295" w:name="_Toc387526318"/>
      <w:bookmarkStart w:id="296" w:name="_Toc387526214"/>
      <w:bookmarkStart w:id="297" w:name="_Toc4935"/>
      <w:bookmarkStart w:id="298" w:name="_Toc397928587"/>
      <w:bookmarkStart w:id="299" w:name="_Toc508216918"/>
      <w:bookmarkStart w:id="300" w:name="_Toc15824"/>
      <w:r>
        <w:rPr>
          <w:rFonts w:hint="eastAsia"/>
        </w:rPr>
        <w:t>8.合同授予</w:t>
      </w:r>
      <w:bookmarkEnd w:id="233"/>
      <w:bookmarkEnd w:id="234"/>
      <w:bookmarkEnd w:id="235"/>
      <w:bookmarkEnd w:id="236"/>
      <w:bookmarkEnd w:id="237"/>
      <w:bookmarkEnd w:id="238"/>
      <w:bookmarkEnd w:id="239"/>
      <w:bookmarkEnd w:id="240"/>
      <w:bookmarkEnd w:id="241"/>
      <w:bookmarkEnd w:id="292"/>
      <w:bookmarkEnd w:id="293"/>
      <w:bookmarkEnd w:id="294"/>
      <w:bookmarkEnd w:id="295"/>
      <w:bookmarkEnd w:id="296"/>
      <w:bookmarkEnd w:id="297"/>
      <w:bookmarkEnd w:id="298"/>
      <w:bookmarkEnd w:id="299"/>
      <w:bookmarkEnd w:id="300"/>
    </w:p>
    <w:p w14:paraId="49D08640">
      <w:pPr>
        <w:pStyle w:val="6"/>
        <w:ind w:firstLine="118"/>
      </w:pPr>
      <w:bookmarkStart w:id="301" w:name="_Toc144974535"/>
      <w:bookmarkStart w:id="302" w:name="_Toc387526411"/>
      <w:bookmarkStart w:id="303" w:name="_Toc387526215"/>
      <w:bookmarkStart w:id="304" w:name="_Toc152045567"/>
      <w:bookmarkStart w:id="305" w:name="_Toc397928588"/>
      <w:bookmarkStart w:id="306" w:name="_Toc246996211"/>
      <w:bookmarkStart w:id="307" w:name="_Toc387526319"/>
      <w:bookmarkStart w:id="308" w:name="_Toc152042343"/>
      <w:bookmarkStart w:id="309" w:name="_Toc508216919"/>
      <w:bookmarkStart w:id="310" w:name="_Toc179632585"/>
      <w:bookmarkStart w:id="311" w:name="_Toc366679698"/>
      <w:bookmarkStart w:id="312" w:name="_Toc5192"/>
      <w:bookmarkStart w:id="313" w:name="_Toc246996954"/>
      <w:bookmarkStart w:id="314" w:name="_Toc247085725"/>
      <w:r>
        <w:rPr>
          <w:rFonts w:hint="eastAsia"/>
        </w:rPr>
        <w:t>8.1 定标方式</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63EBADB4">
      <w:bookmarkStart w:id="315" w:name="_Toc29357"/>
      <w:bookmarkStart w:id="316" w:name="_Toc387526412"/>
      <w:bookmarkStart w:id="317" w:name="_Toc387526320"/>
      <w:bookmarkStart w:id="318" w:name="_Toc387526216"/>
      <w:r>
        <w:rPr>
          <w:rFonts w:hint="eastAsia"/>
        </w:rPr>
        <w:t>除投标人须知前附表规定评标委员会直接确定中标人外，招标人依据评标委员会推荐的中标候选人确定中标人。</w:t>
      </w:r>
    </w:p>
    <w:p w14:paraId="61EDE8E0">
      <w:r>
        <w:rPr>
          <w:rFonts w:hint="eastAsia"/>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5CA75773">
      <w:pPr>
        <w:pStyle w:val="6"/>
        <w:ind w:firstLine="118"/>
      </w:pPr>
      <w:bookmarkStart w:id="319" w:name="_Toc397928589"/>
      <w:bookmarkStart w:id="320" w:name="_Toc508216920"/>
      <w:r>
        <w:rPr>
          <w:rFonts w:hint="eastAsia"/>
        </w:rPr>
        <w:t>8.2</w:t>
      </w:r>
      <w:bookmarkEnd w:id="315"/>
      <w:bookmarkEnd w:id="316"/>
      <w:bookmarkEnd w:id="317"/>
      <w:bookmarkEnd w:id="318"/>
      <w:bookmarkStart w:id="321" w:name="_Toc246996955"/>
      <w:bookmarkStart w:id="322" w:name="_Toc13765"/>
      <w:bookmarkStart w:id="323" w:name="_Toc387526321"/>
      <w:bookmarkStart w:id="324" w:name="_Toc387526217"/>
      <w:bookmarkStart w:id="325" w:name="_Toc179632586"/>
      <w:bookmarkStart w:id="326" w:name="_Toc366679700"/>
      <w:bookmarkStart w:id="327" w:name="_Toc387526413"/>
      <w:bookmarkStart w:id="328" w:name="_Toc246996212"/>
      <w:bookmarkStart w:id="329" w:name="_Toc247085726"/>
      <w:r>
        <w:rPr>
          <w:rFonts w:hint="eastAsia"/>
        </w:rPr>
        <w:t>中标通知</w:t>
      </w:r>
      <w:bookmarkEnd w:id="319"/>
      <w:bookmarkEnd w:id="320"/>
      <w:bookmarkEnd w:id="321"/>
      <w:bookmarkEnd w:id="322"/>
      <w:bookmarkEnd w:id="323"/>
      <w:bookmarkEnd w:id="324"/>
      <w:bookmarkEnd w:id="325"/>
      <w:bookmarkEnd w:id="326"/>
      <w:bookmarkEnd w:id="327"/>
      <w:bookmarkEnd w:id="328"/>
      <w:bookmarkEnd w:id="329"/>
    </w:p>
    <w:p w14:paraId="2CD3BE04">
      <w:bookmarkStart w:id="330" w:name="_Toc246996956"/>
      <w:bookmarkStart w:id="331" w:name="_Toc179632587"/>
      <w:bookmarkStart w:id="332" w:name="_Toc366679701"/>
      <w:bookmarkStart w:id="333" w:name="_Toc247085727"/>
      <w:bookmarkStart w:id="334" w:name="_Toc246996213"/>
      <w:r>
        <w:rPr>
          <w:rFonts w:hint="eastAsia"/>
        </w:rPr>
        <w:t>招标人在评标结果公示期结束后3日内向中标人发出中标通知书。</w:t>
      </w:r>
    </w:p>
    <w:p w14:paraId="16F5CF17">
      <w:pPr>
        <w:pStyle w:val="6"/>
        <w:ind w:firstLine="118"/>
      </w:pPr>
      <w:bookmarkStart w:id="335" w:name="_Toc387526322"/>
      <w:bookmarkStart w:id="336" w:name="_Toc397928590"/>
      <w:bookmarkStart w:id="337" w:name="_Toc508216921"/>
      <w:bookmarkStart w:id="338" w:name="_Toc26386"/>
      <w:bookmarkStart w:id="339" w:name="_Toc387526414"/>
      <w:bookmarkStart w:id="340" w:name="_Toc387526218"/>
      <w:r>
        <w:rPr>
          <w:rFonts w:hint="eastAsia"/>
        </w:rPr>
        <w:t>8.3 履约保证金</w:t>
      </w:r>
      <w:bookmarkEnd w:id="330"/>
      <w:bookmarkEnd w:id="331"/>
      <w:bookmarkEnd w:id="332"/>
      <w:bookmarkEnd w:id="333"/>
      <w:bookmarkEnd w:id="334"/>
      <w:bookmarkEnd w:id="335"/>
      <w:bookmarkEnd w:id="336"/>
      <w:bookmarkEnd w:id="337"/>
      <w:bookmarkEnd w:id="338"/>
      <w:bookmarkEnd w:id="339"/>
      <w:bookmarkEnd w:id="340"/>
    </w:p>
    <w:p w14:paraId="10779CF8">
      <w:r>
        <w:rPr>
          <w:rFonts w:hint="eastAsia"/>
        </w:rPr>
        <w:t>8.3.1在签订合同前，中标人应按投标人须知前附表规定的形式和招标文件“合同条款及格式”规定的或者事先经过招标人书面认可的履约保证金格式向招标人提交履约保证金。</w:t>
      </w:r>
    </w:p>
    <w:p w14:paraId="468D9362">
      <w:r>
        <w:rPr>
          <w:rFonts w:hint="eastAsia"/>
        </w:rPr>
        <w:t>8.3.2中标人不能按本章第8.3.1项要求提交履约保证金的，视为放弃中标，给招标人造成的损失的，中标人还应当对损失予以赔偿。</w:t>
      </w:r>
    </w:p>
    <w:p w14:paraId="0CD4BF36">
      <w:pPr>
        <w:pStyle w:val="6"/>
        <w:ind w:firstLine="118"/>
      </w:pPr>
      <w:bookmarkStart w:id="341" w:name="_Toc387526415"/>
      <w:bookmarkStart w:id="342" w:name="_Toc247085728"/>
      <w:bookmarkStart w:id="343" w:name="_Toc246996957"/>
      <w:bookmarkStart w:id="344" w:name="_Toc179632588"/>
      <w:bookmarkStart w:id="345" w:name="_Toc366679702"/>
      <w:bookmarkStart w:id="346" w:name="_Toc397928591"/>
      <w:bookmarkStart w:id="347" w:name="_Toc387526323"/>
      <w:bookmarkStart w:id="348" w:name="_Toc10565"/>
      <w:bookmarkStart w:id="349" w:name="_Toc387526219"/>
      <w:bookmarkStart w:id="350" w:name="_Toc246996214"/>
      <w:bookmarkStart w:id="351" w:name="_Toc508216922"/>
      <w:r>
        <w:rPr>
          <w:rFonts w:hint="eastAsia"/>
        </w:rPr>
        <w:t>8.4 签订合同</w:t>
      </w:r>
      <w:bookmarkEnd w:id="341"/>
      <w:bookmarkEnd w:id="342"/>
      <w:bookmarkEnd w:id="343"/>
      <w:bookmarkEnd w:id="344"/>
      <w:bookmarkEnd w:id="345"/>
      <w:bookmarkEnd w:id="346"/>
      <w:bookmarkEnd w:id="347"/>
      <w:bookmarkEnd w:id="348"/>
      <w:bookmarkEnd w:id="349"/>
      <w:bookmarkEnd w:id="350"/>
      <w:bookmarkEnd w:id="351"/>
    </w:p>
    <w:p w14:paraId="3B57D635">
      <w:r>
        <w:rPr>
          <w:rFonts w:hint="eastAsia"/>
        </w:rPr>
        <w:t>8.4.1招标人和中标人应当自中标通知书发出之日起30日内，根据招标文件和中标人的投标文件订立书面合同。中标人无正当理由拒签合同的，招标人取消其中标资格；给招标人造成的损失的，中标人还应当对损失予以赔偿。</w:t>
      </w:r>
    </w:p>
    <w:p w14:paraId="05B85242">
      <w:r>
        <w:rPr>
          <w:rFonts w:hint="eastAsia"/>
        </w:rPr>
        <w:t>8.4.2 发出中标通知书后，招标人无正当理由拒签合同的，给中标人造成损失的，还应当赔偿损失。</w:t>
      </w:r>
    </w:p>
    <w:bookmarkEnd w:id="219"/>
    <w:bookmarkEnd w:id="220"/>
    <w:bookmarkEnd w:id="221"/>
    <w:bookmarkEnd w:id="222"/>
    <w:p w14:paraId="5E988A29">
      <w:pPr>
        <w:pStyle w:val="73"/>
        <w:ind w:firstLine="643"/>
      </w:pPr>
      <w:bookmarkStart w:id="352" w:name="_Toc387526324"/>
      <w:bookmarkStart w:id="353" w:name="_Toc20098"/>
      <w:bookmarkStart w:id="354" w:name="_Toc368759383"/>
      <w:bookmarkStart w:id="355" w:name="_Toc367894807"/>
      <w:bookmarkStart w:id="356" w:name="_Toc397928592"/>
      <w:bookmarkStart w:id="357" w:name="_Toc387526416"/>
      <w:bookmarkStart w:id="358" w:name="_Toc322503149"/>
      <w:bookmarkStart w:id="359" w:name="_Toc368760435"/>
      <w:bookmarkStart w:id="360" w:name="_Toc508216923"/>
      <w:bookmarkStart w:id="361" w:name="_Toc363329380"/>
      <w:bookmarkStart w:id="362" w:name="_Toc30717"/>
      <w:bookmarkStart w:id="363" w:name="_Toc387526220"/>
      <w:bookmarkStart w:id="364" w:name="_Toc369077569"/>
      <w:r>
        <w:rPr>
          <w:rFonts w:hint="eastAsia"/>
        </w:rPr>
        <w:t>9.纪律和监督</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6C8B8DD8">
      <w:pPr>
        <w:pStyle w:val="6"/>
        <w:ind w:firstLine="118"/>
      </w:pPr>
      <w:bookmarkStart w:id="365" w:name="_Toc322503150"/>
      <w:bookmarkStart w:id="366" w:name="_Toc397928593"/>
      <w:bookmarkStart w:id="367" w:name="_Toc152042351"/>
      <w:bookmarkStart w:id="368" w:name="_Toc29855"/>
      <w:bookmarkStart w:id="369" w:name="_Toc144974543"/>
      <w:bookmarkStart w:id="370" w:name="_Toc152045575"/>
      <w:bookmarkStart w:id="371" w:name="_Toc387526325"/>
      <w:bookmarkStart w:id="372" w:name="_Toc387526221"/>
      <w:bookmarkStart w:id="373" w:name="_Toc508216924"/>
      <w:bookmarkStart w:id="374" w:name="_Toc387526417"/>
      <w:bookmarkStart w:id="375" w:name="_Toc269310963"/>
      <w:r>
        <w:rPr>
          <w:rFonts w:hint="eastAsia"/>
        </w:rPr>
        <w:t>9.1 对招标人的纪律要求</w:t>
      </w:r>
      <w:bookmarkEnd w:id="365"/>
      <w:bookmarkEnd w:id="366"/>
      <w:bookmarkEnd w:id="367"/>
      <w:bookmarkEnd w:id="368"/>
      <w:bookmarkEnd w:id="369"/>
      <w:bookmarkEnd w:id="370"/>
      <w:bookmarkEnd w:id="371"/>
      <w:bookmarkEnd w:id="372"/>
      <w:bookmarkEnd w:id="373"/>
      <w:bookmarkEnd w:id="374"/>
      <w:bookmarkEnd w:id="375"/>
    </w:p>
    <w:p w14:paraId="32DC71DF">
      <w:r>
        <w:rPr>
          <w:rFonts w:hint="eastAsia"/>
        </w:rPr>
        <w:t>招标人不得泄露招标投标活动中应当保密的情况和资料，不得与投标人串通损害国家利益、社会公众利益或者他人合法权益。</w:t>
      </w:r>
    </w:p>
    <w:p w14:paraId="066F13D6">
      <w:pPr>
        <w:pStyle w:val="6"/>
        <w:ind w:firstLine="118"/>
      </w:pPr>
      <w:bookmarkStart w:id="376" w:name="_Toc322503151"/>
      <w:bookmarkStart w:id="377" w:name="_Toc144974544"/>
      <w:bookmarkStart w:id="378" w:name="_Toc387526418"/>
      <w:bookmarkStart w:id="379" w:name="_Toc1420"/>
      <w:bookmarkStart w:id="380" w:name="_Toc269310964"/>
      <w:bookmarkStart w:id="381" w:name="_Toc152045576"/>
      <w:bookmarkStart w:id="382" w:name="_Toc152042352"/>
      <w:bookmarkStart w:id="383" w:name="_Toc397928594"/>
      <w:bookmarkStart w:id="384" w:name="_Toc387526326"/>
      <w:bookmarkStart w:id="385" w:name="_Toc508216925"/>
      <w:bookmarkStart w:id="386" w:name="_Toc387526222"/>
      <w:r>
        <w:rPr>
          <w:rFonts w:hint="eastAsia"/>
        </w:rPr>
        <w:t>9.2 对投标人的纪律要求</w:t>
      </w:r>
      <w:bookmarkEnd w:id="376"/>
      <w:bookmarkEnd w:id="377"/>
      <w:bookmarkEnd w:id="378"/>
      <w:bookmarkEnd w:id="379"/>
      <w:bookmarkEnd w:id="380"/>
      <w:bookmarkEnd w:id="381"/>
      <w:bookmarkEnd w:id="382"/>
      <w:bookmarkEnd w:id="383"/>
      <w:bookmarkEnd w:id="384"/>
      <w:bookmarkEnd w:id="385"/>
      <w:bookmarkEnd w:id="386"/>
    </w:p>
    <w:p w14:paraId="70B67B4C">
      <w:bookmarkStart w:id="387" w:name="_Toc152042353"/>
      <w:bookmarkStart w:id="388" w:name="_Toc322503152"/>
      <w:bookmarkStart w:id="389" w:name="_Toc152045577"/>
      <w:bookmarkStart w:id="390" w:name="_Toc144974545"/>
      <w:bookmarkStart w:id="391" w:name="_Toc269310965"/>
      <w:r>
        <w:rPr>
          <w:rFonts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738AD3B">
      <w:pPr>
        <w:pStyle w:val="6"/>
        <w:ind w:firstLine="118"/>
      </w:pPr>
      <w:bookmarkStart w:id="392" w:name="_Toc387526419"/>
      <w:bookmarkStart w:id="393" w:name="_Toc387526223"/>
      <w:bookmarkStart w:id="394" w:name="_Toc16374"/>
      <w:bookmarkStart w:id="395" w:name="_Toc397928595"/>
      <w:bookmarkStart w:id="396" w:name="_Toc387526327"/>
      <w:bookmarkStart w:id="397" w:name="_Toc508216926"/>
      <w:r>
        <w:rPr>
          <w:rFonts w:hint="eastAsia"/>
        </w:rPr>
        <w:t>9.3 对评标委员会成员的纪律要求</w:t>
      </w:r>
      <w:bookmarkEnd w:id="387"/>
      <w:bookmarkEnd w:id="388"/>
      <w:bookmarkEnd w:id="389"/>
      <w:bookmarkEnd w:id="390"/>
      <w:bookmarkEnd w:id="391"/>
      <w:bookmarkEnd w:id="392"/>
      <w:bookmarkEnd w:id="393"/>
      <w:bookmarkEnd w:id="394"/>
      <w:bookmarkEnd w:id="395"/>
      <w:bookmarkEnd w:id="396"/>
      <w:bookmarkEnd w:id="397"/>
    </w:p>
    <w:p w14:paraId="02865055">
      <w:bookmarkStart w:id="398" w:name="_Toc152045578"/>
      <w:bookmarkStart w:id="399" w:name="_Toc366679707"/>
      <w:bookmarkStart w:id="400" w:name="_Toc179632596"/>
      <w:bookmarkStart w:id="401" w:name="_Toc246996965"/>
      <w:bookmarkStart w:id="402" w:name="_Toc246996222"/>
      <w:bookmarkStart w:id="403" w:name="_Toc152042354"/>
      <w:bookmarkStart w:id="404" w:name="_Toc247085736"/>
      <w:bookmarkStart w:id="405" w:name="_Toc144974546"/>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14:paraId="73BE926C">
      <w:pPr>
        <w:pStyle w:val="6"/>
        <w:ind w:firstLine="118"/>
      </w:pPr>
      <w:bookmarkStart w:id="406" w:name="_Toc397928596"/>
      <w:bookmarkStart w:id="407" w:name="_Toc387526328"/>
      <w:bookmarkStart w:id="408" w:name="_Toc387526224"/>
      <w:bookmarkStart w:id="409" w:name="_Toc1042"/>
      <w:bookmarkStart w:id="410" w:name="_Toc387526420"/>
      <w:bookmarkStart w:id="411" w:name="_Toc508216927"/>
      <w:r>
        <w:rPr>
          <w:rFonts w:hint="eastAsia"/>
        </w:rPr>
        <w:t>9.4 对与评标活动有关的工作人员的纪律要求</w:t>
      </w:r>
      <w:bookmarkEnd w:id="398"/>
      <w:bookmarkEnd w:id="399"/>
      <w:bookmarkEnd w:id="400"/>
      <w:bookmarkEnd w:id="401"/>
      <w:bookmarkEnd w:id="402"/>
      <w:bookmarkEnd w:id="403"/>
      <w:bookmarkEnd w:id="404"/>
      <w:bookmarkEnd w:id="406"/>
      <w:bookmarkEnd w:id="407"/>
      <w:bookmarkEnd w:id="408"/>
      <w:bookmarkEnd w:id="409"/>
      <w:bookmarkEnd w:id="410"/>
      <w:bookmarkEnd w:id="411"/>
    </w:p>
    <w:p w14:paraId="000C6715">
      <w:bookmarkStart w:id="412" w:name="_Toc152042355"/>
      <w:bookmarkStart w:id="413" w:name="_Toc179632597"/>
      <w:bookmarkStart w:id="414" w:name="_Toc152045579"/>
      <w:bookmarkStart w:id="415" w:name="_Toc247085737"/>
      <w:bookmarkStart w:id="416" w:name="_Toc366679708"/>
      <w:bookmarkStart w:id="417" w:name="_Toc246996223"/>
      <w:bookmarkStart w:id="418" w:name="_Toc246996966"/>
      <w:bookmarkStart w:id="419" w:name="_Toc152042356"/>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12"/>
    </w:p>
    <w:bookmarkEnd w:id="405"/>
    <w:bookmarkEnd w:id="413"/>
    <w:bookmarkEnd w:id="414"/>
    <w:bookmarkEnd w:id="415"/>
    <w:bookmarkEnd w:id="416"/>
    <w:bookmarkEnd w:id="417"/>
    <w:bookmarkEnd w:id="418"/>
    <w:bookmarkEnd w:id="419"/>
    <w:p w14:paraId="3D36B7B4">
      <w:bookmarkStart w:id="420" w:name="_Toc387526422"/>
      <w:bookmarkStart w:id="421" w:name="_Toc387526330"/>
      <w:bookmarkStart w:id="422" w:name="_Toc9600"/>
      <w:bookmarkStart w:id="423" w:name="_Toc387526226"/>
      <w:r>
        <w:rPr>
          <w:rFonts w:hint="eastAsia"/>
        </w:rPr>
        <w:t>9.5 质疑</w:t>
      </w:r>
    </w:p>
    <w:p w14:paraId="521DC0F4">
      <w:r>
        <w:rPr>
          <w:rFonts w:hint="eastAsia"/>
        </w:rPr>
        <w:t>供应商认为采购文件、采购过程、中标或者成交结果使自己的权益受到损害的，可以在知道或者应知其权益受到损害之日起7个工作日内，以书面形式向</w:t>
      </w:r>
      <w:r>
        <w:t>招标人、招标</w:t>
      </w:r>
      <w:r>
        <w:rPr>
          <w:rFonts w:hint="eastAsia"/>
        </w:rPr>
        <w:t>代理机构在法定质疑期内一次性提出针对同一采购程序环节的质疑。供应商提出质疑应当符合财政部令第94号《政府采购质疑和投诉办法》相关规定。</w:t>
      </w:r>
      <w:bookmarkStart w:id="424" w:name="_Toc508216929"/>
    </w:p>
    <w:p w14:paraId="0626B23E">
      <w:r>
        <w:rPr>
          <w:rFonts w:hint="eastAsia"/>
        </w:rPr>
        <w:t>9.6 投诉</w:t>
      </w:r>
    </w:p>
    <w:p w14:paraId="226CE53D">
      <w:r>
        <w:rPr>
          <w:rFonts w:hint="eastAsia"/>
        </w:rPr>
        <w:t>质疑供应商对</w:t>
      </w:r>
      <w:r>
        <w:t>招标</w:t>
      </w:r>
      <w:r>
        <w:rPr>
          <w:rFonts w:hint="eastAsia"/>
        </w:rPr>
        <w:t>人、</w:t>
      </w:r>
      <w:r>
        <w:t>招标</w:t>
      </w:r>
      <w:r>
        <w:rPr>
          <w:rFonts w:hint="eastAsia"/>
        </w:rPr>
        <w:t>代理机构的答复不满意的，或者</w:t>
      </w:r>
      <w:r>
        <w:t>招标</w:t>
      </w:r>
      <w:r>
        <w:rPr>
          <w:rFonts w:hint="eastAsia"/>
        </w:rPr>
        <w:t>人、</w:t>
      </w:r>
      <w:r>
        <w:t>招标</w:t>
      </w:r>
      <w:r>
        <w:rPr>
          <w:rFonts w:hint="eastAsia"/>
        </w:rPr>
        <w:t>代理机构未在规定时间内作出答复的，可以在答复期满后15个工作日内向盐城市大丰区城市建设集团有限公司提起投诉。提起投诉应当符合财政部令第94号《政府采购质疑和投诉办法》相关规定。</w:t>
      </w:r>
    </w:p>
    <w:p w14:paraId="20290BAC">
      <w:pPr>
        <w:pStyle w:val="6"/>
        <w:ind w:firstLine="118"/>
      </w:pPr>
      <w:r>
        <w:rPr>
          <w:rFonts w:hint="eastAsia"/>
        </w:rPr>
        <w:t>9.7差别待遇或者歧视待遇现象</w:t>
      </w:r>
      <w:bookmarkEnd w:id="424"/>
    </w:p>
    <w:p w14:paraId="17FD30AD">
      <w:r>
        <w:t>招标人</w:t>
      </w:r>
      <w:r>
        <w:rPr>
          <w:rFonts w:hint="eastAsia"/>
        </w:rPr>
        <w:t>或者</w:t>
      </w:r>
      <w:r>
        <w:t>招标</w:t>
      </w:r>
      <w:r>
        <w:rPr>
          <w:rFonts w:hint="eastAsia"/>
        </w:rPr>
        <w:t>代理机构有下列情形之一的，属于以不合理的条件对供应商实行差别待遇或者歧视待遇：</w:t>
      </w:r>
    </w:p>
    <w:p w14:paraId="1D756A4E">
      <w:r>
        <w:rPr>
          <w:rFonts w:hint="eastAsia"/>
        </w:rPr>
        <w:t>（一）就同一采购项目向供应商提供有差别的项目信息；</w:t>
      </w:r>
    </w:p>
    <w:p w14:paraId="69DAF432">
      <w:r>
        <w:rPr>
          <w:rFonts w:hint="eastAsia"/>
        </w:rPr>
        <w:t>（二）设定的资格、技术、商务条件与采购项目的具体特点和实际需要不相适应或者与合同履行无关；</w:t>
      </w:r>
    </w:p>
    <w:p w14:paraId="2707F3E9">
      <w:r>
        <w:rPr>
          <w:rFonts w:hint="eastAsia"/>
        </w:rPr>
        <w:t>（三）采购需求中的技术、服务等要求指向特定供应商、特定产品；</w:t>
      </w:r>
    </w:p>
    <w:p w14:paraId="3F1521EC">
      <w:r>
        <w:rPr>
          <w:rFonts w:hint="eastAsia"/>
        </w:rPr>
        <w:t>（四）以特定行政区域或者特定行业的业绩、奖项作为加分条件或者中标、成交条件；</w:t>
      </w:r>
    </w:p>
    <w:p w14:paraId="62E1E289">
      <w:r>
        <w:rPr>
          <w:rFonts w:hint="eastAsia"/>
        </w:rPr>
        <w:t>（五）对供应商采取不同的资格审查或者评审标准；</w:t>
      </w:r>
    </w:p>
    <w:p w14:paraId="3CB68660">
      <w:r>
        <w:rPr>
          <w:rFonts w:hint="eastAsia"/>
        </w:rPr>
        <w:t>（六）限定或者指定特定的专利、商标、品牌或者供应商；</w:t>
      </w:r>
    </w:p>
    <w:p w14:paraId="201F400A">
      <w:r>
        <w:rPr>
          <w:rFonts w:hint="eastAsia"/>
        </w:rPr>
        <w:t>（七）非法限定供应商的所有制形式、组织形式或者所在地；</w:t>
      </w:r>
    </w:p>
    <w:p w14:paraId="1423680B">
      <w:r>
        <w:rPr>
          <w:rFonts w:hint="eastAsia"/>
        </w:rPr>
        <w:t>（八）以其他不合理条件限制或者排斥潜在供应商。</w:t>
      </w:r>
    </w:p>
    <w:p w14:paraId="348ED5E7">
      <w:r>
        <w:rPr>
          <w:rFonts w:hint="eastAsia"/>
        </w:rPr>
        <w:t>若有以上现象，评委将根据本招标文件相关条款执行。</w:t>
      </w:r>
    </w:p>
    <w:p w14:paraId="26232F92">
      <w:pPr>
        <w:pStyle w:val="73"/>
        <w:ind w:firstLine="643"/>
      </w:pPr>
      <w:bookmarkStart w:id="425" w:name="_Toc508216930"/>
      <w:bookmarkStart w:id="426" w:name="_Toc23227"/>
      <w:bookmarkStart w:id="427" w:name="_Toc397928598"/>
      <w:r>
        <w:rPr>
          <w:rFonts w:hint="eastAsia"/>
        </w:rPr>
        <w:t>10.招标人需要补充的其他内容</w:t>
      </w:r>
      <w:bookmarkEnd w:id="420"/>
      <w:bookmarkEnd w:id="421"/>
      <w:bookmarkEnd w:id="422"/>
      <w:bookmarkEnd w:id="423"/>
      <w:bookmarkEnd w:id="425"/>
      <w:bookmarkEnd w:id="426"/>
      <w:bookmarkEnd w:id="427"/>
    </w:p>
    <w:p w14:paraId="40DF34DF">
      <w:bookmarkStart w:id="428" w:name="_Toc25989"/>
      <w:r>
        <w:rPr>
          <w:rFonts w:hint="eastAsia"/>
        </w:rPr>
        <w:t>详见须知前附表</w:t>
      </w:r>
    </w:p>
    <w:p w14:paraId="40D0996C">
      <w:r>
        <w:rPr>
          <w:rFonts w:hint="eastAsia"/>
        </w:rPr>
        <w:t>11.解释权</w:t>
      </w:r>
      <w:bookmarkEnd w:id="428"/>
    </w:p>
    <w:p w14:paraId="38B1B54B">
      <w:r>
        <w:rPr>
          <w:rFonts w:hint="eastAsia"/>
        </w:rPr>
        <w:t>构成本招标文件的各个组成文件应互为解释，互为说明。当发现的不明确或不一致，在招标文件中有明确规定的，评标委员会应按已明确的规定评标；当发现的不明确或不一致，在招标文件中没有明确规定时：</w:t>
      </w:r>
    </w:p>
    <w:p w14:paraId="37E9EAF0">
      <w:r>
        <w:rPr>
          <w:rFonts w:hint="eastAsia"/>
        </w:rPr>
        <w:t>⑴凡是构成合同文件组成内容的不明确或不一致，以合同文件约定内容为准，且以专用合同条款约定的合同文件优先顺序解释；</w:t>
      </w:r>
    </w:p>
    <w:p w14:paraId="324542FC">
      <w:r>
        <w:rPr>
          <w:rFonts w:hint="eastAsia"/>
        </w:rPr>
        <w:t>⑵凡不是构成合同文件组成内容的不明确或不一致，除招标文件中有特别规定外，仅适用于招标投标阶段的规定，按招标公告（投标邀请书）、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14:paraId="68A19D53">
      <w:r>
        <w:rPr>
          <w:rFonts w:hint="eastAsia"/>
        </w:rPr>
        <w:t>⑶按本款前述规定仍不能形成结论的，由招标人负责解释。</w:t>
      </w:r>
    </w:p>
    <w:p w14:paraId="04FC6FE6">
      <w:bookmarkStart w:id="429" w:name="_Toc15155"/>
      <w:r>
        <w:rPr>
          <w:rFonts w:hint="eastAsia"/>
        </w:rPr>
        <w:t>12.其他</w:t>
      </w:r>
      <w:bookmarkEnd w:id="429"/>
    </w:p>
    <w:p w14:paraId="472B7AA5">
      <w:r>
        <w:rPr>
          <w:rFonts w:hint="eastAsia"/>
        </w:rPr>
        <w:t>1、本招标文件时间均以中华人民共和国北京时间为准，所涉及金额的币种均为人民币。</w:t>
      </w:r>
    </w:p>
    <w:p w14:paraId="2B2482BA">
      <w:r>
        <w:rPr>
          <w:rFonts w:hint="eastAsia"/>
        </w:rPr>
        <w:t>2、凡参与本项目投标的投标人，视同已踏勘过项目现场和研究了本招标文件的所有内容，并无保留地接受招标文件的所有条款（含招标答疑、补充通知等）。</w:t>
      </w:r>
    </w:p>
    <w:p w14:paraId="7085A17B">
      <w:r>
        <w:rPr>
          <w:rFonts w:hint="eastAsia"/>
        </w:rPr>
        <w:t>3、本招标文件未尽事宜，按国家和省法律法规、规章要求处理。</w:t>
      </w:r>
    </w:p>
    <w:p w14:paraId="59FB082D">
      <w:r>
        <w:rPr>
          <w:rFonts w:hint="eastAsia"/>
        </w:rPr>
        <w:t>4、本招标文件的解释权归招标人所有。</w:t>
      </w:r>
      <w:bookmarkStart w:id="430" w:name="_Toc397928599"/>
      <w:bookmarkStart w:id="431" w:name="_Toc508216932"/>
      <w:bookmarkStart w:id="432" w:name="_Toc12629"/>
      <w:bookmarkStart w:id="433" w:name="_Toc508216933"/>
      <w:bookmarkStart w:id="434" w:name="_Toc397928601"/>
      <w:bookmarkStart w:id="435" w:name="_Toc184635093"/>
    </w:p>
    <w:p w14:paraId="777363B4">
      <w:pPr>
        <w:pStyle w:val="4"/>
        <w:ind w:firstLine="883"/>
      </w:pPr>
      <w:r>
        <w:rPr>
          <w:rFonts w:hint="eastAsia" w:cs="宋体"/>
          <w:szCs w:val="21"/>
        </w:rPr>
        <w:br w:type="page"/>
      </w:r>
      <w:bookmarkStart w:id="436" w:name="_Toc2739"/>
      <w:r>
        <w:rPr>
          <w:rFonts w:hint="eastAsia"/>
        </w:rPr>
        <w:t>第三章 评标办法（综合评分法）</w:t>
      </w:r>
      <w:bookmarkEnd w:id="430"/>
      <w:bookmarkEnd w:id="431"/>
      <w:bookmarkEnd w:id="436"/>
    </w:p>
    <w:p w14:paraId="131EE1EE">
      <w:pPr>
        <w:ind w:firstLine="422"/>
        <w:rPr>
          <w:b/>
          <w:bCs/>
        </w:rPr>
      </w:pPr>
      <w:r>
        <w:rPr>
          <w:rFonts w:hint="eastAsia"/>
          <w:b/>
          <w:bCs/>
        </w:rPr>
        <w:t>开标时特别说明：</w:t>
      </w:r>
    </w:p>
    <w:p w14:paraId="1B43EFB2">
      <w:pPr>
        <w:ind w:firstLine="422"/>
        <w:rPr>
          <w:b/>
          <w:bCs/>
        </w:rPr>
      </w:pPr>
      <w:r>
        <w:rPr>
          <w:rFonts w:hint="eastAsia"/>
          <w:b/>
          <w:bCs/>
        </w:rPr>
        <w:t>本项目采用全程电子化及不见面开评标的模式，开标当日，投标人无需到达开标现场，仅需在任意地点通过盐城大丰开标大厅系统http://js.etrading.cn/EpointBidOpening/bidopeninghallaction/hall/login及相应的配套软硬件设备，完成远程解密、文件传输、提疑澄清、开标唱标、结果公布等交互环节，具体内容和规定详见招标文件。</w:t>
      </w:r>
    </w:p>
    <w:bookmarkEnd w:id="432"/>
    <w:bookmarkEnd w:id="433"/>
    <w:bookmarkEnd w:id="434"/>
    <w:bookmarkEnd w:id="435"/>
    <w:p w14:paraId="2192BFBD">
      <w:pPr>
        <w:pStyle w:val="5"/>
        <w:ind w:firstLine="422"/>
        <w:rPr>
          <w:sz w:val="21"/>
          <w:szCs w:val="21"/>
        </w:rPr>
      </w:pPr>
      <w:bookmarkStart w:id="437" w:name="_Toc508216951"/>
      <w:r>
        <w:rPr>
          <w:rFonts w:hint="eastAsia"/>
          <w:sz w:val="21"/>
          <w:szCs w:val="21"/>
        </w:rPr>
        <w:t>1.评标方法</w:t>
      </w:r>
    </w:p>
    <w:p w14:paraId="3C8FF612">
      <w:r>
        <w:rPr>
          <w:rFonts w:hint="eastAsia"/>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14:paraId="726566B3">
      <w:pPr>
        <w:pStyle w:val="5"/>
        <w:ind w:firstLine="422"/>
        <w:rPr>
          <w:sz w:val="21"/>
          <w:szCs w:val="21"/>
        </w:rPr>
      </w:pPr>
      <w:r>
        <w:rPr>
          <w:rFonts w:hint="eastAsia"/>
          <w:sz w:val="21"/>
          <w:szCs w:val="21"/>
        </w:rPr>
        <w:t>2.评审标准</w:t>
      </w:r>
    </w:p>
    <w:p w14:paraId="1B28718C">
      <w:r>
        <w:rPr>
          <w:rFonts w:hint="eastAsia"/>
        </w:rPr>
        <w:t>2.1 初步评审</w:t>
      </w:r>
    </w:p>
    <w:p w14:paraId="0AA134C1">
      <w:r>
        <w:rPr>
          <w:rFonts w:hint="eastAsia"/>
        </w:rPr>
        <w:t>2.1.1形式评审标准</w:t>
      </w:r>
    </w:p>
    <w:p w14:paraId="007A66D6">
      <w:r>
        <w:rPr>
          <w:rFonts w:hint="eastAsia"/>
        </w:rPr>
        <w:t>对投标文件的有效性、完整性进行评审。</w:t>
      </w:r>
    </w:p>
    <w:tbl>
      <w:tblPr>
        <w:tblStyle w:val="49"/>
        <w:tblW w:w="4993"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10"/>
        <w:gridCol w:w="6438"/>
      </w:tblGrid>
      <w:tr w14:paraId="3DA677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4" w:type="pct"/>
            <w:tcBorders>
              <w:top w:val="single" w:color="auto" w:sz="4" w:space="0"/>
              <w:left w:val="single" w:color="auto" w:sz="4" w:space="0"/>
              <w:bottom w:val="single" w:color="auto" w:sz="4" w:space="0"/>
              <w:right w:val="single" w:color="auto" w:sz="4" w:space="0"/>
            </w:tcBorders>
          </w:tcPr>
          <w:p w14:paraId="1D7B0EFC">
            <w:pPr>
              <w:ind w:firstLine="0" w:firstLineChars="0"/>
              <w:jc w:val="center"/>
            </w:pPr>
            <w:r>
              <w:rPr>
                <w:rFonts w:hint="eastAsia"/>
              </w:rPr>
              <w:t>评审因素</w:t>
            </w:r>
          </w:p>
        </w:tc>
        <w:tc>
          <w:tcPr>
            <w:tcW w:w="3235" w:type="pct"/>
            <w:tcBorders>
              <w:top w:val="single" w:color="auto" w:sz="4" w:space="0"/>
              <w:left w:val="single" w:color="auto" w:sz="4" w:space="0"/>
              <w:bottom w:val="single" w:color="auto" w:sz="4" w:space="0"/>
              <w:right w:val="single" w:color="auto" w:sz="4" w:space="0"/>
            </w:tcBorders>
          </w:tcPr>
          <w:p w14:paraId="3578F504">
            <w:pPr>
              <w:ind w:firstLine="0" w:firstLineChars="0"/>
              <w:jc w:val="center"/>
            </w:pPr>
            <w:r>
              <w:rPr>
                <w:rFonts w:hint="eastAsia"/>
              </w:rPr>
              <w:t>评审标准</w:t>
            </w:r>
          </w:p>
        </w:tc>
      </w:tr>
      <w:tr w14:paraId="699FC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764" w:type="pct"/>
            <w:tcBorders>
              <w:top w:val="single" w:color="auto" w:sz="4" w:space="0"/>
              <w:left w:val="single" w:color="auto" w:sz="4" w:space="0"/>
              <w:bottom w:val="single" w:color="auto" w:sz="4" w:space="0"/>
              <w:right w:val="single" w:color="auto" w:sz="4" w:space="0"/>
            </w:tcBorders>
          </w:tcPr>
          <w:p w14:paraId="41F75EEC">
            <w:pPr>
              <w:ind w:firstLine="0" w:firstLineChars="0"/>
              <w:jc w:val="center"/>
              <w:rPr>
                <w:b/>
              </w:rPr>
            </w:pPr>
            <w:r>
              <w:rPr>
                <w:rFonts w:hint="eastAsia"/>
              </w:rPr>
              <w:t>投标人名称</w:t>
            </w:r>
          </w:p>
        </w:tc>
        <w:tc>
          <w:tcPr>
            <w:tcW w:w="3235" w:type="pct"/>
            <w:tcBorders>
              <w:top w:val="single" w:color="auto" w:sz="4" w:space="0"/>
              <w:left w:val="single" w:color="auto" w:sz="4" w:space="0"/>
              <w:bottom w:val="single" w:color="auto" w:sz="4" w:space="0"/>
              <w:right w:val="single" w:color="auto" w:sz="4" w:space="0"/>
            </w:tcBorders>
            <w:vAlign w:val="center"/>
          </w:tcPr>
          <w:p w14:paraId="4CF19892">
            <w:pPr>
              <w:ind w:firstLine="0" w:firstLineChars="0"/>
              <w:jc w:val="center"/>
              <w:rPr>
                <w:b/>
              </w:rPr>
            </w:pPr>
            <w:r>
              <w:rPr>
                <w:rFonts w:hint="eastAsia"/>
              </w:rPr>
              <w:t>与营业执照一致</w:t>
            </w:r>
          </w:p>
        </w:tc>
      </w:tr>
      <w:tr w14:paraId="33B68D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7" w:hRule="atLeast"/>
          <w:jc w:val="center"/>
        </w:trPr>
        <w:tc>
          <w:tcPr>
            <w:tcW w:w="1764" w:type="pct"/>
            <w:tcBorders>
              <w:top w:val="single" w:color="auto" w:sz="4" w:space="0"/>
              <w:left w:val="single" w:color="auto" w:sz="4" w:space="0"/>
              <w:bottom w:val="single" w:color="auto" w:sz="4" w:space="0"/>
              <w:right w:val="single" w:color="auto" w:sz="4" w:space="0"/>
            </w:tcBorders>
            <w:vAlign w:val="center"/>
          </w:tcPr>
          <w:p w14:paraId="099F2FA9">
            <w:pPr>
              <w:ind w:firstLine="0" w:firstLineChars="0"/>
              <w:jc w:val="center"/>
            </w:pPr>
            <w:r>
              <w:rPr>
                <w:rFonts w:hint="eastAsia"/>
              </w:rPr>
              <w:t>投标承诺函</w:t>
            </w:r>
          </w:p>
        </w:tc>
        <w:tc>
          <w:tcPr>
            <w:tcW w:w="3235" w:type="pct"/>
            <w:tcBorders>
              <w:top w:val="single" w:color="auto" w:sz="4" w:space="0"/>
              <w:left w:val="single" w:color="auto" w:sz="4" w:space="0"/>
              <w:bottom w:val="single" w:color="auto" w:sz="4" w:space="0"/>
              <w:right w:val="single" w:color="auto" w:sz="4" w:space="0"/>
            </w:tcBorders>
            <w:vAlign w:val="center"/>
          </w:tcPr>
          <w:p w14:paraId="099BAC76">
            <w:pPr>
              <w:ind w:firstLine="0" w:firstLineChars="0"/>
              <w:jc w:val="center"/>
            </w:pPr>
            <w:r>
              <w:rPr>
                <w:rFonts w:hint="eastAsia"/>
              </w:rPr>
              <w:t>有法定代表人或其委托代理人签字(或盖章)并加盖投标单位公章</w:t>
            </w:r>
          </w:p>
        </w:tc>
      </w:tr>
      <w:tr w14:paraId="286D16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1764" w:type="pct"/>
            <w:tcBorders>
              <w:top w:val="single" w:color="auto" w:sz="4" w:space="0"/>
              <w:left w:val="single" w:color="auto" w:sz="4" w:space="0"/>
              <w:bottom w:val="single" w:color="auto" w:sz="4" w:space="0"/>
              <w:right w:val="single" w:color="auto" w:sz="4" w:space="0"/>
            </w:tcBorders>
          </w:tcPr>
          <w:p w14:paraId="33B5B2BC">
            <w:pPr>
              <w:ind w:firstLine="0" w:firstLineChars="0"/>
              <w:jc w:val="center"/>
            </w:pPr>
            <w:r>
              <w:rPr>
                <w:rFonts w:hint="eastAsia"/>
              </w:rPr>
              <w:t>授权委托书</w:t>
            </w:r>
          </w:p>
        </w:tc>
        <w:tc>
          <w:tcPr>
            <w:tcW w:w="3235" w:type="pct"/>
            <w:tcBorders>
              <w:top w:val="single" w:color="auto" w:sz="4" w:space="0"/>
              <w:left w:val="single" w:color="auto" w:sz="4" w:space="0"/>
              <w:bottom w:val="single" w:color="auto" w:sz="4" w:space="0"/>
              <w:right w:val="single" w:color="auto" w:sz="4" w:space="0"/>
            </w:tcBorders>
            <w:vAlign w:val="center"/>
          </w:tcPr>
          <w:p w14:paraId="5F86EB6E">
            <w:pPr>
              <w:ind w:firstLine="0" w:firstLineChars="0"/>
              <w:jc w:val="center"/>
            </w:pPr>
            <w:r>
              <w:rPr>
                <w:rFonts w:hint="eastAsia"/>
              </w:rPr>
              <w:t>有法定代表人签字(或盖章)并加盖投标单位公章</w:t>
            </w:r>
          </w:p>
        </w:tc>
      </w:tr>
      <w:tr w14:paraId="285960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4" w:type="pct"/>
            <w:tcBorders>
              <w:top w:val="single" w:color="auto" w:sz="4" w:space="0"/>
              <w:left w:val="single" w:color="auto" w:sz="4" w:space="0"/>
              <w:bottom w:val="single" w:color="auto" w:sz="4" w:space="0"/>
              <w:right w:val="single" w:color="auto" w:sz="4" w:space="0"/>
            </w:tcBorders>
            <w:vAlign w:val="center"/>
          </w:tcPr>
          <w:p w14:paraId="65C901A6">
            <w:pPr>
              <w:ind w:firstLine="0" w:firstLineChars="0"/>
              <w:jc w:val="center"/>
            </w:pPr>
            <w:r>
              <w:rPr>
                <w:rFonts w:hint="eastAsia"/>
              </w:rPr>
              <w:t>报价唯一</w:t>
            </w:r>
          </w:p>
        </w:tc>
        <w:tc>
          <w:tcPr>
            <w:tcW w:w="3235" w:type="pct"/>
            <w:tcBorders>
              <w:top w:val="single" w:color="auto" w:sz="4" w:space="0"/>
              <w:left w:val="single" w:color="auto" w:sz="4" w:space="0"/>
              <w:bottom w:val="single" w:color="auto" w:sz="4" w:space="0"/>
              <w:right w:val="single" w:color="auto" w:sz="4" w:space="0"/>
            </w:tcBorders>
            <w:vAlign w:val="center"/>
          </w:tcPr>
          <w:p w14:paraId="2BE467F6">
            <w:pPr>
              <w:ind w:firstLine="0" w:firstLineChars="0"/>
              <w:jc w:val="center"/>
            </w:pPr>
            <w:r>
              <w:rPr>
                <w:rFonts w:hint="eastAsia"/>
              </w:rPr>
              <w:t>只能有一个有效报价</w:t>
            </w:r>
          </w:p>
        </w:tc>
      </w:tr>
      <w:tr w14:paraId="58761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1" w:hRule="atLeast"/>
          <w:jc w:val="center"/>
        </w:trPr>
        <w:tc>
          <w:tcPr>
            <w:tcW w:w="1764" w:type="pct"/>
            <w:tcBorders>
              <w:top w:val="single" w:color="auto" w:sz="4" w:space="0"/>
              <w:left w:val="single" w:color="auto" w:sz="4" w:space="0"/>
              <w:bottom w:val="single" w:color="auto" w:sz="4" w:space="0"/>
              <w:right w:val="single" w:color="auto" w:sz="4" w:space="0"/>
            </w:tcBorders>
          </w:tcPr>
          <w:p w14:paraId="3AC53854">
            <w:pPr>
              <w:ind w:firstLine="0" w:firstLineChars="0"/>
              <w:jc w:val="center"/>
            </w:pPr>
            <w:r>
              <w:rPr>
                <w:rFonts w:hint="eastAsia"/>
              </w:rPr>
              <w:t>……</w:t>
            </w:r>
          </w:p>
        </w:tc>
        <w:tc>
          <w:tcPr>
            <w:tcW w:w="3235" w:type="pct"/>
            <w:tcBorders>
              <w:top w:val="single" w:color="auto" w:sz="4" w:space="0"/>
              <w:left w:val="single" w:color="auto" w:sz="4" w:space="0"/>
              <w:bottom w:val="single" w:color="auto" w:sz="4" w:space="0"/>
              <w:right w:val="single" w:color="auto" w:sz="4" w:space="0"/>
            </w:tcBorders>
            <w:vAlign w:val="center"/>
          </w:tcPr>
          <w:p w14:paraId="10750CF5">
            <w:pPr>
              <w:ind w:firstLine="0" w:firstLineChars="0"/>
              <w:jc w:val="center"/>
            </w:pPr>
            <w:r>
              <w:rPr>
                <w:rFonts w:hint="eastAsia"/>
              </w:rPr>
              <w:t>……</w:t>
            </w:r>
          </w:p>
        </w:tc>
      </w:tr>
    </w:tbl>
    <w:p w14:paraId="43050CE6">
      <w:r>
        <w:rPr>
          <w:rFonts w:hint="eastAsia"/>
        </w:rPr>
        <w:t>2.1.2资格审查（资格后审）</w:t>
      </w:r>
    </w:p>
    <w:p w14:paraId="4306BB7A">
      <w:r>
        <w:rPr>
          <w:rFonts w:hint="eastAsia"/>
        </w:rPr>
        <w:t>评标委员会对通过上一阶段评审的投标人资格对照招标文件投标须知第3.5项的规定要求进行审查，只有通过资格审查的投标人方可进行下一阶段的评审。</w:t>
      </w:r>
    </w:p>
    <w:tbl>
      <w:tblPr>
        <w:tblStyle w:val="49"/>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457"/>
        <w:gridCol w:w="6491"/>
      </w:tblGrid>
      <w:tr w14:paraId="1888E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37" w:type="pct"/>
            <w:tcBorders>
              <w:top w:val="single" w:color="auto" w:sz="4" w:space="0"/>
              <w:left w:val="single" w:color="auto" w:sz="4" w:space="0"/>
              <w:bottom w:val="single" w:color="auto" w:sz="4" w:space="0"/>
              <w:right w:val="single" w:color="auto" w:sz="4" w:space="0"/>
            </w:tcBorders>
          </w:tcPr>
          <w:p w14:paraId="124823BC">
            <w:pPr>
              <w:ind w:firstLine="0" w:firstLineChars="0"/>
              <w:jc w:val="center"/>
            </w:pPr>
            <w:r>
              <w:rPr>
                <w:rFonts w:hint="eastAsia"/>
              </w:rPr>
              <w:t>评审因素</w:t>
            </w:r>
          </w:p>
        </w:tc>
        <w:tc>
          <w:tcPr>
            <w:tcW w:w="3262" w:type="pct"/>
            <w:tcBorders>
              <w:top w:val="single" w:color="auto" w:sz="4" w:space="0"/>
              <w:left w:val="single" w:color="auto" w:sz="4" w:space="0"/>
              <w:bottom w:val="single" w:color="auto" w:sz="4" w:space="0"/>
              <w:right w:val="single" w:color="auto" w:sz="4" w:space="0"/>
            </w:tcBorders>
          </w:tcPr>
          <w:p w14:paraId="620C0F20">
            <w:pPr>
              <w:ind w:firstLine="0" w:firstLineChars="0"/>
              <w:jc w:val="center"/>
            </w:pPr>
            <w:r>
              <w:rPr>
                <w:rFonts w:hint="eastAsia"/>
              </w:rPr>
              <w:t>评审标准</w:t>
            </w:r>
          </w:p>
        </w:tc>
      </w:tr>
      <w:tr w14:paraId="225DB0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77" w:type="dxa"/>
            <w:tcBorders>
              <w:top w:val="single" w:color="auto" w:sz="4" w:space="0"/>
              <w:left w:val="single" w:color="auto" w:sz="4" w:space="0"/>
              <w:bottom w:val="single" w:color="auto" w:sz="4" w:space="0"/>
              <w:right w:val="single" w:color="auto" w:sz="4" w:space="0"/>
            </w:tcBorders>
          </w:tcPr>
          <w:p w14:paraId="3EA0C5A3">
            <w:pPr>
              <w:spacing w:line="480" w:lineRule="exact"/>
              <w:ind w:firstLine="0" w:firstLineChars="0"/>
              <w:jc w:val="center"/>
            </w:pPr>
            <w:r>
              <w:rPr>
                <w:rFonts w:hint="eastAsia" w:ascii="宋体" w:hAnsi="宋体" w:cs="宋体"/>
              </w:rPr>
              <w:t>营业执照</w:t>
            </w:r>
          </w:p>
        </w:tc>
        <w:tc>
          <w:tcPr>
            <w:tcW w:w="6345" w:type="dxa"/>
            <w:tcBorders>
              <w:top w:val="single" w:color="auto" w:sz="4" w:space="0"/>
              <w:left w:val="single" w:color="auto" w:sz="4" w:space="0"/>
              <w:bottom w:val="single" w:color="auto" w:sz="4" w:space="0"/>
              <w:right w:val="single" w:color="auto" w:sz="4" w:space="0"/>
            </w:tcBorders>
          </w:tcPr>
          <w:p w14:paraId="431FC22F">
            <w:pPr>
              <w:spacing w:line="480" w:lineRule="exact"/>
              <w:ind w:firstLine="0" w:firstLineChars="0"/>
              <w:jc w:val="center"/>
            </w:pPr>
            <w:r>
              <w:rPr>
                <w:rFonts w:hint="eastAsia" w:ascii="宋体" w:hAnsi="宋体" w:cs="宋体"/>
              </w:rPr>
              <w:t>具备有效的营业执照</w:t>
            </w:r>
          </w:p>
        </w:tc>
      </w:tr>
      <w:tr w14:paraId="5B859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377" w:type="dxa"/>
            <w:tcBorders>
              <w:top w:val="single" w:color="auto" w:sz="4" w:space="0"/>
              <w:left w:val="single" w:color="auto" w:sz="4" w:space="0"/>
              <w:bottom w:val="single" w:color="auto" w:sz="4" w:space="0"/>
              <w:right w:val="single" w:color="auto" w:sz="4" w:space="0"/>
            </w:tcBorders>
            <w:vAlign w:val="center"/>
          </w:tcPr>
          <w:p w14:paraId="73B9DA0C">
            <w:pPr>
              <w:spacing w:line="480" w:lineRule="exact"/>
              <w:ind w:firstLine="0" w:firstLineChars="0"/>
              <w:jc w:val="center"/>
            </w:pPr>
            <w:r>
              <w:rPr>
                <w:rFonts w:hint="eastAsia" w:ascii="宋体" w:hAnsi="宋体" w:cs="宋体"/>
              </w:rPr>
              <w:t>声明函</w:t>
            </w:r>
          </w:p>
        </w:tc>
        <w:tc>
          <w:tcPr>
            <w:tcW w:w="6345" w:type="dxa"/>
            <w:tcBorders>
              <w:top w:val="single" w:color="auto" w:sz="4" w:space="0"/>
              <w:left w:val="single" w:color="auto" w:sz="4" w:space="0"/>
              <w:bottom w:val="single" w:color="auto" w:sz="4" w:space="0"/>
              <w:right w:val="single" w:color="auto" w:sz="4" w:space="0"/>
            </w:tcBorders>
          </w:tcPr>
          <w:p w14:paraId="76F87C0C">
            <w:pPr>
              <w:spacing w:line="480" w:lineRule="exact"/>
              <w:ind w:firstLine="0" w:firstLineChars="0"/>
              <w:jc w:val="center"/>
            </w:pPr>
            <w:r>
              <w:rPr>
                <w:rFonts w:hint="eastAsia" w:ascii="宋体" w:hAnsi="宋体" w:cs="宋体"/>
              </w:rPr>
              <w:t>投标人具备《中华人民共和国政府采购法》第二十二条规定条件的声明函</w:t>
            </w:r>
          </w:p>
        </w:tc>
      </w:tr>
      <w:tr w14:paraId="3CE8F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57" w:type="dxa"/>
            <w:tcBorders>
              <w:top w:val="single" w:color="auto" w:sz="4" w:space="0"/>
              <w:left w:val="single" w:color="auto" w:sz="4" w:space="0"/>
              <w:bottom w:val="single" w:color="auto" w:sz="4" w:space="0"/>
              <w:right w:val="single" w:color="auto" w:sz="4" w:space="0"/>
            </w:tcBorders>
          </w:tcPr>
          <w:p w14:paraId="727E2478">
            <w:pPr>
              <w:ind w:firstLine="0" w:firstLineChars="0"/>
              <w:jc w:val="center"/>
            </w:pPr>
            <w:r>
              <w:rPr>
                <w:rFonts w:hint="eastAsia"/>
              </w:rPr>
              <w:t>……</w:t>
            </w:r>
          </w:p>
        </w:tc>
        <w:tc>
          <w:tcPr>
            <w:tcW w:w="6493" w:type="dxa"/>
            <w:tcBorders>
              <w:top w:val="single" w:color="auto" w:sz="4" w:space="0"/>
              <w:left w:val="single" w:color="auto" w:sz="4" w:space="0"/>
              <w:bottom w:val="single" w:color="auto" w:sz="4" w:space="0"/>
              <w:right w:val="single" w:color="auto" w:sz="4" w:space="0"/>
            </w:tcBorders>
            <w:vAlign w:val="center"/>
          </w:tcPr>
          <w:p w14:paraId="7EFC5E8E">
            <w:pPr>
              <w:ind w:firstLine="0" w:firstLineChars="0"/>
              <w:jc w:val="center"/>
            </w:pPr>
            <w:r>
              <w:rPr>
                <w:rFonts w:hint="eastAsia"/>
              </w:rPr>
              <w:t>……</w:t>
            </w:r>
          </w:p>
        </w:tc>
      </w:tr>
    </w:tbl>
    <w:p w14:paraId="2653BE5C">
      <w:r>
        <w:rPr>
          <w:rFonts w:hint="eastAsia"/>
        </w:rPr>
        <w:t>2.1.3 响应性审查</w:t>
      </w:r>
    </w:p>
    <w:p w14:paraId="638B513D">
      <w:r>
        <w:rPr>
          <w:rFonts w:hint="eastAsia"/>
        </w:rPr>
        <w:t>对招标文件要求的供货期、质量标准、投标有效期、投标报价等实质性要求的响应性进行评审。</w:t>
      </w:r>
    </w:p>
    <w:tbl>
      <w:tblPr>
        <w:tblStyle w:val="49"/>
        <w:tblW w:w="499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3546"/>
        <w:gridCol w:w="6402"/>
      </w:tblGrid>
      <w:tr w14:paraId="69CA69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14:paraId="474039AB">
            <w:pPr>
              <w:ind w:firstLine="0" w:firstLineChars="0"/>
              <w:jc w:val="center"/>
            </w:pPr>
            <w:r>
              <w:rPr>
                <w:rFonts w:hint="eastAsia"/>
              </w:rPr>
              <w:t>评审因素</w:t>
            </w:r>
          </w:p>
        </w:tc>
        <w:tc>
          <w:tcPr>
            <w:tcW w:w="3217" w:type="pct"/>
            <w:tcBorders>
              <w:top w:val="single" w:color="auto" w:sz="4" w:space="0"/>
              <w:left w:val="single" w:color="auto" w:sz="4" w:space="0"/>
              <w:bottom w:val="single" w:color="auto" w:sz="4" w:space="0"/>
              <w:right w:val="single" w:color="auto" w:sz="4" w:space="0"/>
            </w:tcBorders>
          </w:tcPr>
          <w:p w14:paraId="72223CC6">
            <w:pPr>
              <w:ind w:firstLine="0" w:firstLineChars="0"/>
              <w:jc w:val="center"/>
            </w:pPr>
            <w:r>
              <w:rPr>
                <w:rFonts w:hint="eastAsia"/>
              </w:rPr>
              <w:t>评审标准</w:t>
            </w:r>
          </w:p>
        </w:tc>
      </w:tr>
      <w:tr w14:paraId="1F0E6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14:paraId="7D46793B">
            <w:pPr>
              <w:ind w:firstLine="0" w:firstLineChars="0"/>
              <w:jc w:val="center"/>
              <w:rPr>
                <w:b/>
              </w:rPr>
            </w:pPr>
            <w:r>
              <w:rPr>
                <w:rFonts w:hint="eastAsia"/>
              </w:rPr>
              <w:t>供货期</w:t>
            </w:r>
          </w:p>
        </w:tc>
        <w:tc>
          <w:tcPr>
            <w:tcW w:w="3217" w:type="pct"/>
            <w:tcBorders>
              <w:top w:val="single" w:color="auto" w:sz="4" w:space="0"/>
              <w:left w:val="single" w:color="auto" w:sz="4" w:space="0"/>
              <w:bottom w:val="single" w:color="auto" w:sz="4" w:space="0"/>
              <w:right w:val="single" w:color="auto" w:sz="4" w:space="0"/>
            </w:tcBorders>
          </w:tcPr>
          <w:p w14:paraId="03A0A8E7">
            <w:pPr>
              <w:ind w:firstLine="0" w:firstLineChars="0"/>
              <w:jc w:val="center"/>
              <w:rPr>
                <w:b/>
              </w:rPr>
            </w:pPr>
            <w:r>
              <w:rPr>
                <w:rFonts w:hint="eastAsia"/>
              </w:rPr>
              <w:t>符合招标文件相关约定</w:t>
            </w:r>
          </w:p>
        </w:tc>
      </w:tr>
      <w:tr w14:paraId="117077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14:paraId="672EA45A">
            <w:pPr>
              <w:ind w:firstLine="0" w:firstLineChars="0"/>
              <w:jc w:val="center"/>
              <w:rPr>
                <w:b/>
              </w:rPr>
            </w:pPr>
            <w:r>
              <w:rPr>
                <w:rFonts w:hint="eastAsia"/>
              </w:rPr>
              <w:t>质量标准</w:t>
            </w:r>
          </w:p>
        </w:tc>
        <w:tc>
          <w:tcPr>
            <w:tcW w:w="3217" w:type="pct"/>
            <w:tcBorders>
              <w:top w:val="single" w:color="auto" w:sz="4" w:space="0"/>
              <w:left w:val="single" w:color="auto" w:sz="4" w:space="0"/>
              <w:bottom w:val="single" w:color="auto" w:sz="4" w:space="0"/>
              <w:right w:val="single" w:color="auto" w:sz="4" w:space="0"/>
            </w:tcBorders>
          </w:tcPr>
          <w:p w14:paraId="33D5D76F">
            <w:pPr>
              <w:ind w:firstLine="0" w:firstLineChars="0"/>
              <w:jc w:val="center"/>
              <w:rPr>
                <w:b/>
              </w:rPr>
            </w:pPr>
            <w:r>
              <w:rPr>
                <w:rFonts w:hint="eastAsia"/>
              </w:rPr>
              <w:t>符合招标文件相关约定</w:t>
            </w:r>
          </w:p>
        </w:tc>
      </w:tr>
      <w:tr w14:paraId="1C716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14:paraId="2CC5527D">
            <w:pPr>
              <w:ind w:firstLine="0" w:firstLineChars="0"/>
              <w:jc w:val="center"/>
              <w:rPr>
                <w:b/>
              </w:rPr>
            </w:pPr>
            <w:r>
              <w:rPr>
                <w:rFonts w:hint="eastAsia"/>
              </w:rPr>
              <w:t>投标有效期</w:t>
            </w:r>
          </w:p>
        </w:tc>
        <w:tc>
          <w:tcPr>
            <w:tcW w:w="3217" w:type="pct"/>
            <w:tcBorders>
              <w:top w:val="single" w:color="auto" w:sz="4" w:space="0"/>
              <w:left w:val="single" w:color="auto" w:sz="4" w:space="0"/>
              <w:bottom w:val="single" w:color="auto" w:sz="4" w:space="0"/>
              <w:right w:val="single" w:color="auto" w:sz="4" w:space="0"/>
            </w:tcBorders>
          </w:tcPr>
          <w:p w14:paraId="52E25DCD">
            <w:pPr>
              <w:ind w:firstLine="0" w:firstLineChars="0"/>
              <w:jc w:val="center"/>
              <w:rPr>
                <w:b/>
              </w:rPr>
            </w:pPr>
            <w:r>
              <w:rPr>
                <w:rFonts w:hint="eastAsia"/>
              </w:rPr>
              <w:t>符合招标文件相关约定</w:t>
            </w:r>
          </w:p>
        </w:tc>
      </w:tr>
      <w:tr w14:paraId="20CE61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14:paraId="460C798D">
            <w:pPr>
              <w:ind w:firstLine="0" w:firstLineChars="0"/>
              <w:jc w:val="center"/>
              <w:rPr>
                <w:b/>
              </w:rPr>
            </w:pPr>
            <w:r>
              <w:rPr>
                <w:rFonts w:hint="eastAsia"/>
              </w:rPr>
              <w:t>技术标准和要求</w:t>
            </w:r>
          </w:p>
        </w:tc>
        <w:tc>
          <w:tcPr>
            <w:tcW w:w="3217" w:type="pct"/>
            <w:tcBorders>
              <w:top w:val="single" w:color="auto" w:sz="4" w:space="0"/>
              <w:left w:val="single" w:color="auto" w:sz="4" w:space="0"/>
              <w:bottom w:val="single" w:color="auto" w:sz="4" w:space="0"/>
              <w:right w:val="single" w:color="auto" w:sz="4" w:space="0"/>
            </w:tcBorders>
          </w:tcPr>
          <w:p w14:paraId="137DCFFF">
            <w:pPr>
              <w:ind w:firstLine="0" w:firstLineChars="0"/>
              <w:jc w:val="center"/>
            </w:pPr>
            <w:r>
              <w:rPr>
                <w:rFonts w:hint="eastAsia"/>
              </w:rPr>
              <w:t>符合招标文件相关约定</w:t>
            </w:r>
          </w:p>
        </w:tc>
      </w:tr>
      <w:tr w14:paraId="7B219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82" w:type="pct"/>
            <w:tcBorders>
              <w:top w:val="single" w:color="auto" w:sz="4" w:space="0"/>
              <w:left w:val="single" w:color="auto" w:sz="4" w:space="0"/>
              <w:bottom w:val="single" w:color="auto" w:sz="4" w:space="0"/>
              <w:right w:val="single" w:color="auto" w:sz="4" w:space="0"/>
            </w:tcBorders>
          </w:tcPr>
          <w:p w14:paraId="3A4A5780">
            <w:pPr>
              <w:ind w:firstLine="0" w:firstLineChars="0"/>
              <w:jc w:val="center"/>
              <w:rPr>
                <w:b/>
              </w:rPr>
            </w:pPr>
            <w:r>
              <w:rPr>
                <w:rFonts w:hint="eastAsia"/>
              </w:rPr>
              <w:t>投标价格</w:t>
            </w:r>
          </w:p>
        </w:tc>
        <w:tc>
          <w:tcPr>
            <w:tcW w:w="3217" w:type="pct"/>
            <w:tcBorders>
              <w:top w:val="single" w:color="auto" w:sz="4" w:space="0"/>
              <w:left w:val="single" w:color="auto" w:sz="4" w:space="0"/>
              <w:bottom w:val="single" w:color="auto" w:sz="4" w:space="0"/>
              <w:right w:val="single" w:color="auto" w:sz="4" w:space="0"/>
            </w:tcBorders>
          </w:tcPr>
          <w:p w14:paraId="39A1B2C1">
            <w:pPr>
              <w:ind w:firstLine="0" w:firstLineChars="0"/>
              <w:jc w:val="center"/>
            </w:pPr>
            <w:r>
              <w:rPr>
                <w:rFonts w:hint="eastAsia"/>
              </w:rPr>
              <w:t>符合招标文件相关约定</w:t>
            </w:r>
          </w:p>
        </w:tc>
      </w:tr>
    </w:tbl>
    <w:p w14:paraId="30FB850D">
      <w:pPr>
        <w:pStyle w:val="6"/>
        <w:ind w:firstLine="118"/>
      </w:pPr>
      <w:r>
        <w:rPr>
          <w:rFonts w:hint="eastAsia"/>
        </w:rPr>
        <w:t>2.2 详细评审（100分）</w:t>
      </w:r>
    </w:p>
    <w:tbl>
      <w:tblPr>
        <w:tblStyle w:val="49"/>
        <w:tblW w:w="100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5"/>
        <w:gridCol w:w="7636"/>
        <w:gridCol w:w="977"/>
      </w:tblGrid>
      <w:tr w14:paraId="561F0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3" w:hRule="atLeast"/>
          <w:jc w:val="center"/>
        </w:trPr>
        <w:tc>
          <w:tcPr>
            <w:tcW w:w="1485"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3CD19366">
            <w:pPr>
              <w:ind w:firstLine="0" w:firstLineChars="0"/>
              <w:jc w:val="center"/>
            </w:pPr>
            <w:r>
              <w:rPr>
                <w:rFonts w:hint="eastAsia"/>
              </w:rPr>
              <w:t>评分项目</w:t>
            </w:r>
          </w:p>
        </w:tc>
        <w:tc>
          <w:tcPr>
            <w:tcW w:w="7636"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420AF977">
            <w:pPr>
              <w:jc w:val="center"/>
            </w:pPr>
            <w:r>
              <w:rPr>
                <w:rFonts w:hint="eastAsia"/>
              </w:rPr>
              <w:t>评标要点及说明</w:t>
            </w:r>
          </w:p>
        </w:tc>
        <w:tc>
          <w:tcPr>
            <w:tcW w:w="977" w:type="dxa"/>
            <w:tcBorders>
              <w:top w:val="single" w:color="000000" w:sz="4" w:space="0"/>
              <w:left w:val="single" w:color="000000" w:sz="4" w:space="0"/>
              <w:bottom w:val="single" w:color="000000" w:sz="4" w:space="0"/>
              <w:right w:val="single" w:color="000000" w:sz="4" w:space="0"/>
            </w:tcBorders>
            <w:shd w:val="clear" w:color="auto" w:fill="F3F3F3"/>
            <w:vAlign w:val="center"/>
          </w:tcPr>
          <w:p w14:paraId="1B235BE8">
            <w:pPr>
              <w:ind w:firstLine="0" w:firstLineChars="0"/>
            </w:pPr>
            <w:r>
              <w:rPr>
                <w:rFonts w:hint="eastAsia"/>
              </w:rPr>
              <w:t>分值</w:t>
            </w:r>
          </w:p>
        </w:tc>
      </w:tr>
      <w:tr w14:paraId="3279F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7" w:hRule="atLeast"/>
          <w:jc w:val="center"/>
        </w:trPr>
        <w:tc>
          <w:tcPr>
            <w:tcW w:w="1485" w:type="dxa"/>
            <w:tcBorders>
              <w:top w:val="single" w:color="000000" w:sz="4" w:space="0"/>
              <w:left w:val="single" w:color="000000" w:sz="4" w:space="0"/>
              <w:bottom w:val="single" w:color="000000" w:sz="4" w:space="0"/>
              <w:right w:val="single" w:color="000000" w:sz="4" w:space="0"/>
            </w:tcBorders>
            <w:vAlign w:val="center"/>
          </w:tcPr>
          <w:p w14:paraId="76BE1AC3">
            <w:pPr>
              <w:ind w:firstLine="0" w:firstLineChars="0"/>
              <w:jc w:val="center"/>
              <w:rPr>
                <w:lang w:val="zh-CN"/>
              </w:rPr>
            </w:pPr>
            <w:r>
              <w:rPr>
                <w:rFonts w:hint="eastAsia"/>
                <w:lang w:val="zh-CN"/>
              </w:rPr>
              <w:t>投标报价</w:t>
            </w:r>
          </w:p>
          <w:p w14:paraId="495021DE">
            <w:pPr>
              <w:ind w:firstLine="0" w:firstLineChars="0"/>
              <w:jc w:val="center"/>
              <w:rPr>
                <w:rFonts w:cs="宋体"/>
              </w:rPr>
            </w:pPr>
            <w:r>
              <w:rPr>
                <w:rFonts w:hint="eastAsia"/>
                <w:lang w:val="zh-CN"/>
              </w:rPr>
              <w:t>（</w:t>
            </w:r>
            <w:r>
              <w:t>5</w:t>
            </w:r>
            <w:r>
              <w:rPr>
                <w:rFonts w:hint="eastAsia"/>
              </w:rPr>
              <w:t>0分</w:t>
            </w:r>
            <w:r>
              <w:rPr>
                <w:rFonts w:hint="eastAsia"/>
                <w:lang w:val="zh-CN"/>
              </w:rPr>
              <w:t>）</w:t>
            </w:r>
          </w:p>
        </w:tc>
        <w:tc>
          <w:tcPr>
            <w:tcW w:w="7636" w:type="dxa"/>
            <w:tcBorders>
              <w:top w:val="single" w:color="000000" w:sz="4" w:space="0"/>
              <w:left w:val="single" w:color="000000" w:sz="4" w:space="0"/>
              <w:bottom w:val="single" w:color="000000" w:sz="4" w:space="0"/>
              <w:right w:val="single" w:color="000000" w:sz="4" w:space="0"/>
            </w:tcBorders>
            <w:vAlign w:val="center"/>
          </w:tcPr>
          <w:p w14:paraId="46E57F87">
            <w:pPr>
              <w:widowControl/>
              <w:spacing w:line="420" w:lineRule="exact"/>
              <w:jc w:val="left"/>
              <w:rPr>
                <w:rFonts w:ascii="宋体" w:hAnsi="宋体" w:cs="宋体"/>
              </w:rPr>
            </w:pPr>
            <w:r>
              <w:rPr>
                <w:rFonts w:hint="eastAsia" w:ascii="宋体" w:hAnsi="宋体" w:cs="宋体"/>
              </w:rPr>
              <w:t>以有效投标文件的评标价算术平均值为A（若有效投标文件≥7家时，去掉其中的一个最高价和一个最低价后取算术平均值为A；若有效投标文件≥10家时，去掉其中的二个最高价和二个最低价后取算术平均值为A）</w:t>
            </w:r>
          </w:p>
          <w:p w14:paraId="3515BC1F">
            <w:pPr>
              <w:widowControl/>
              <w:spacing w:line="420" w:lineRule="exact"/>
              <w:jc w:val="left"/>
              <w:rPr>
                <w:rFonts w:ascii="宋体" w:hAnsi="宋体" w:cs="宋体"/>
              </w:rPr>
            </w:pPr>
            <w:r>
              <w:rPr>
                <w:rFonts w:hint="eastAsia" w:ascii="宋体" w:hAnsi="宋体" w:cs="宋体"/>
              </w:rPr>
              <w:t>评标基准价 =A×K，K值在开标时由招标人代表随机抽取确定，K值的取值范围为9</w:t>
            </w:r>
            <w:r>
              <w:rPr>
                <w:rFonts w:ascii="宋体" w:hAnsi="宋体" w:cs="宋体"/>
              </w:rPr>
              <w:t>7</w:t>
            </w:r>
            <w:r>
              <w:rPr>
                <w:rFonts w:hint="eastAsia" w:ascii="宋体" w:hAnsi="宋体" w:cs="宋体"/>
              </w:rPr>
              <w:t>%</w:t>
            </w:r>
            <w:r>
              <w:rPr>
                <w:rFonts w:ascii="宋体" w:hAnsi="宋体" w:cs="宋体"/>
              </w:rPr>
              <w:t>、</w:t>
            </w:r>
            <w:r>
              <w:rPr>
                <w:rFonts w:hint="eastAsia" w:ascii="宋体" w:hAnsi="宋体" w:cs="宋体"/>
              </w:rPr>
              <w:t>9</w:t>
            </w:r>
            <w:r>
              <w:rPr>
                <w:rFonts w:ascii="宋体" w:hAnsi="宋体" w:cs="宋体"/>
              </w:rPr>
              <w:t>7.5</w:t>
            </w:r>
            <w:r>
              <w:rPr>
                <w:rFonts w:hint="eastAsia" w:ascii="宋体" w:hAnsi="宋体" w:cs="宋体"/>
              </w:rPr>
              <w:t>%</w:t>
            </w:r>
            <w:r>
              <w:rPr>
                <w:rFonts w:ascii="宋体" w:hAnsi="宋体" w:cs="宋体"/>
              </w:rPr>
              <w:t>、</w:t>
            </w:r>
            <w:r>
              <w:rPr>
                <w:rFonts w:hint="eastAsia" w:ascii="宋体" w:hAnsi="宋体" w:cs="宋体"/>
              </w:rPr>
              <w:t>98%。</w:t>
            </w:r>
          </w:p>
          <w:p w14:paraId="6B2F2B87">
            <w:pPr>
              <w:widowControl/>
              <w:spacing w:line="420" w:lineRule="exact"/>
              <w:jc w:val="left"/>
              <w:rPr>
                <w:rFonts w:ascii="宋体" w:hAnsi="宋体" w:cs="宋体"/>
              </w:rPr>
            </w:pPr>
            <w:r>
              <w:rPr>
                <w:rFonts w:hint="eastAsia" w:ascii="宋体" w:hAnsi="宋体" w:cs="宋体"/>
              </w:rPr>
              <w:t>扣分标准：</w:t>
            </w:r>
          </w:p>
          <w:p w14:paraId="163000E9">
            <w:pPr>
              <w:spacing w:line="420" w:lineRule="exact"/>
              <w:rPr>
                <w:rFonts w:ascii="宋体" w:hAnsi="宋体" w:cs="宋体"/>
              </w:rPr>
            </w:pPr>
            <w:r>
              <w:rPr>
                <w:rFonts w:hint="eastAsia" w:ascii="宋体" w:hAnsi="宋体" w:cs="宋体"/>
              </w:rPr>
              <w:t>有效投标文件的评标价等于评标基准价的得满分，有效投标文件的评标价相对评标基准价每低1%扣0.</w:t>
            </w:r>
            <w:r>
              <w:rPr>
                <w:rFonts w:ascii="宋体" w:hAnsi="宋体" w:cs="宋体"/>
              </w:rPr>
              <w:t>30</w:t>
            </w:r>
            <w:r>
              <w:rPr>
                <w:rFonts w:hint="eastAsia" w:ascii="宋体" w:hAnsi="宋体" w:cs="宋体"/>
              </w:rPr>
              <w:t>分，每高1%扣0.</w:t>
            </w:r>
            <w:r>
              <w:rPr>
                <w:rFonts w:ascii="宋体" w:hAnsi="宋体" w:cs="宋体"/>
              </w:rPr>
              <w:t>45</w:t>
            </w:r>
            <w:r>
              <w:rPr>
                <w:rFonts w:hint="eastAsia" w:ascii="宋体" w:hAnsi="宋体" w:cs="宋体"/>
              </w:rPr>
              <w:t>分；偏离不足1%的，按照插入法计算得分。</w:t>
            </w:r>
          </w:p>
          <w:p w14:paraId="0D4F2852">
            <w:pPr>
              <w:pStyle w:val="20"/>
              <w:ind w:firstLine="372"/>
            </w:pPr>
            <w:r>
              <w:rPr>
                <w:rFonts w:hint="eastAsia" w:hAnsi="宋体" w:cs="宋体"/>
              </w:rPr>
              <w:t>注：评标委员会在评标报告签字后，上述评标基准价不因招投标当事人质疑、投诉、复议以及其他任何情形而改变，但评标过程中的计算错误可作调整。</w:t>
            </w:r>
          </w:p>
        </w:tc>
        <w:tc>
          <w:tcPr>
            <w:tcW w:w="977" w:type="dxa"/>
            <w:tcBorders>
              <w:top w:val="single" w:color="000000" w:sz="4" w:space="0"/>
              <w:left w:val="single" w:color="000000" w:sz="4" w:space="0"/>
              <w:bottom w:val="single" w:color="000000" w:sz="4" w:space="0"/>
              <w:right w:val="single" w:color="000000" w:sz="4" w:space="0"/>
            </w:tcBorders>
            <w:vAlign w:val="center"/>
          </w:tcPr>
          <w:p w14:paraId="7EEA6680">
            <w:pPr>
              <w:ind w:firstLine="0" w:firstLineChars="0"/>
              <w:jc w:val="center"/>
            </w:pPr>
            <w:r>
              <w:t>5</w:t>
            </w:r>
            <w:r>
              <w:rPr>
                <w:rFonts w:hint="eastAsia"/>
              </w:rPr>
              <w:t>0</w:t>
            </w:r>
          </w:p>
        </w:tc>
      </w:tr>
      <w:tr w14:paraId="449AC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1" w:hRule="atLeast"/>
          <w:jc w:val="center"/>
        </w:trPr>
        <w:tc>
          <w:tcPr>
            <w:tcW w:w="1485" w:type="dxa"/>
            <w:tcBorders>
              <w:left w:val="single" w:color="000000" w:sz="4" w:space="0"/>
              <w:right w:val="single" w:color="000000" w:sz="4" w:space="0"/>
            </w:tcBorders>
            <w:vAlign w:val="center"/>
          </w:tcPr>
          <w:p w14:paraId="7AED96B9">
            <w:pPr>
              <w:ind w:firstLine="0" w:firstLineChars="0"/>
              <w:jc w:val="center"/>
            </w:pPr>
            <w:r>
              <w:rPr>
                <w:rFonts w:hint="eastAsia"/>
              </w:rPr>
              <w:t>技术参数</w:t>
            </w:r>
          </w:p>
          <w:p w14:paraId="649216D5">
            <w:pPr>
              <w:ind w:firstLine="0" w:firstLineChars="0"/>
              <w:jc w:val="center"/>
            </w:pPr>
            <w:r>
              <w:rPr>
                <w:rFonts w:hint="eastAsia"/>
              </w:rPr>
              <w:t>（</w:t>
            </w:r>
            <w:r>
              <w:t>10</w:t>
            </w:r>
            <w:r>
              <w:rPr>
                <w:rFonts w:hint="eastAsia"/>
              </w:rPr>
              <w:t>分）</w:t>
            </w:r>
          </w:p>
        </w:tc>
        <w:tc>
          <w:tcPr>
            <w:tcW w:w="7636" w:type="dxa"/>
            <w:tcBorders>
              <w:top w:val="single" w:color="000000" w:sz="4" w:space="0"/>
              <w:left w:val="single" w:color="000000" w:sz="4" w:space="0"/>
              <w:right w:val="single" w:color="000000" w:sz="4" w:space="0"/>
            </w:tcBorders>
            <w:vAlign w:val="center"/>
          </w:tcPr>
          <w:p w14:paraId="55D53DA9">
            <w:r>
              <w:t xml:space="preserve">投标人所投产品的技术参数完全满足招标文件中功能和技术参数要求的得10分。未完全满足招标文件中功能和技术参数要求的，参数负偏离每一项扣 </w:t>
            </w:r>
            <w:r>
              <w:rPr>
                <w:rFonts w:hint="eastAsia"/>
              </w:rPr>
              <w:t>0.5</w:t>
            </w:r>
            <w:r>
              <w:t xml:space="preserve"> 分</w:t>
            </w:r>
            <w:r>
              <w:rPr>
                <w:rFonts w:hint="eastAsia"/>
              </w:rPr>
              <w:t>，</w:t>
            </w:r>
            <w:r>
              <w:rPr>
                <w:rFonts w:hint="eastAsia"/>
                <w:color w:val="000000"/>
              </w:rPr>
              <w:t>打“▲”的每有一项不满足扣1分</w:t>
            </w:r>
            <w:r>
              <w:rPr>
                <w:rFonts w:hint="eastAsia"/>
                <w:b/>
                <w:bCs/>
                <w:color w:val="000000"/>
              </w:rPr>
              <w:t>（需提供相关证明材料）</w:t>
            </w:r>
            <w:r>
              <w:t>。</w:t>
            </w:r>
          </w:p>
        </w:tc>
        <w:tc>
          <w:tcPr>
            <w:tcW w:w="977" w:type="dxa"/>
            <w:tcBorders>
              <w:top w:val="single" w:color="000000" w:sz="4" w:space="0"/>
              <w:left w:val="single" w:color="000000" w:sz="4" w:space="0"/>
              <w:right w:val="single" w:color="000000" w:sz="4" w:space="0"/>
            </w:tcBorders>
            <w:vAlign w:val="center"/>
          </w:tcPr>
          <w:p w14:paraId="67FD9F66">
            <w:pPr>
              <w:ind w:firstLine="0" w:firstLineChars="0"/>
              <w:jc w:val="center"/>
            </w:pPr>
            <w:r>
              <w:t>10</w:t>
            </w:r>
          </w:p>
        </w:tc>
      </w:tr>
      <w:tr w14:paraId="020B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1" w:hRule="atLeast"/>
          <w:jc w:val="center"/>
        </w:trPr>
        <w:tc>
          <w:tcPr>
            <w:tcW w:w="1485" w:type="dxa"/>
            <w:tcBorders>
              <w:left w:val="single" w:color="000000" w:sz="4" w:space="0"/>
              <w:right w:val="single" w:color="000000" w:sz="4" w:space="0"/>
            </w:tcBorders>
            <w:vAlign w:val="center"/>
          </w:tcPr>
          <w:p w14:paraId="771E934F">
            <w:pPr>
              <w:ind w:firstLine="0" w:firstLineChars="0"/>
              <w:jc w:val="center"/>
              <w:rPr>
                <w:rFonts w:ascii="宋体" w:hAnsi="宋体" w:cs="宋体"/>
                <w:color w:val="000000"/>
              </w:rPr>
            </w:pPr>
            <w:r>
              <w:rPr>
                <w:rFonts w:hint="eastAsia" w:ascii="宋体" w:hAnsi="宋体" w:cs="宋体"/>
                <w:color w:val="000000"/>
              </w:rPr>
              <w:t>技术质量</w:t>
            </w:r>
          </w:p>
          <w:p w14:paraId="050A6714">
            <w:pPr>
              <w:pStyle w:val="2"/>
              <w:ind w:firstLine="0" w:firstLineChars="0"/>
              <w:jc w:val="center"/>
            </w:pPr>
            <w:r>
              <w:rPr>
                <w:rFonts w:hint="eastAsia" w:hAnsi="宋体" w:cs="宋体"/>
                <w:color w:val="000000"/>
                <w:sz w:val="21"/>
                <w:szCs w:val="21"/>
              </w:rPr>
              <w:t>（6分）</w:t>
            </w:r>
          </w:p>
        </w:tc>
        <w:tc>
          <w:tcPr>
            <w:tcW w:w="7636" w:type="dxa"/>
            <w:tcBorders>
              <w:top w:val="single" w:color="000000" w:sz="4" w:space="0"/>
              <w:left w:val="single" w:color="000000" w:sz="4" w:space="0"/>
              <w:right w:val="single" w:color="000000" w:sz="4" w:space="0"/>
            </w:tcBorders>
            <w:vAlign w:val="center"/>
          </w:tcPr>
          <w:p w14:paraId="2C857E5A">
            <w:pPr>
              <w:spacing w:after="120"/>
              <w:jc w:val="left"/>
              <w:rPr>
                <w:rFonts w:ascii="宋体" w:hAnsi="宋体"/>
              </w:rPr>
            </w:pPr>
            <w:r>
              <w:rPr>
                <w:rFonts w:hint="eastAsia" w:ascii="宋体" w:hAnsi="宋体"/>
              </w:rPr>
              <w:t>投标人提供2022年1月之后具有检验检测资质的检测机构出具的原材料检测报告，且检测报告上有CNAS或CMA标志，每一份检测报告1分，总计6分。</w:t>
            </w:r>
          </w:p>
          <w:p w14:paraId="25A25C15">
            <w:pPr>
              <w:widowControl/>
              <w:jc w:val="left"/>
              <w:rPr>
                <w:rFonts w:ascii="宋体" w:hAnsi="宋体"/>
              </w:rPr>
            </w:pPr>
            <w:r>
              <w:rPr>
                <w:rFonts w:hint="eastAsia" w:ascii="宋体" w:hAnsi="宋体"/>
              </w:rPr>
              <w:t>1、提供</w:t>
            </w:r>
            <w:r>
              <w:rPr>
                <w:rFonts w:hint="eastAsia" w:ascii="宋体" w:hAnsi="宋体"/>
                <w:b/>
                <w:bCs/>
              </w:rPr>
              <w:t>杉木床板</w:t>
            </w:r>
            <w:r>
              <w:rPr>
                <w:rFonts w:hint="eastAsia" w:ascii="宋体" w:hAnsi="宋体"/>
              </w:rPr>
              <w:t>检测报告，检验依据符合GB 18584-2001，检测项目包括：甲醛释放量(干燥器法)≤1.5mg/L，提供完整的检测报告得1分，缺项或达不到性能要求不得分。</w:t>
            </w:r>
          </w:p>
          <w:p w14:paraId="248541A2">
            <w:pPr>
              <w:widowControl/>
              <w:jc w:val="left"/>
              <w:rPr>
                <w:rFonts w:ascii="宋体" w:hAnsi="宋体"/>
              </w:rPr>
            </w:pPr>
            <w:r>
              <w:rPr>
                <w:rFonts w:hint="eastAsia" w:ascii="宋体" w:hAnsi="宋体"/>
              </w:rPr>
              <w:t>2、提供</w:t>
            </w:r>
            <w:r>
              <w:rPr>
                <w:rFonts w:hint="eastAsia" w:ascii="宋体" w:hAnsi="宋体"/>
                <w:b/>
                <w:bCs/>
              </w:rPr>
              <w:t>脚钉</w:t>
            </w:r>
            <w:r>
              <w:rPr>
                <w:rFonts w:hint="eastAsia" w:ascii="宋体" w:hAnsi="宋体"/>
              </w:rPr>
              <w:t>检测报告，检验依据符合：GB/T 3325-2017、GB/T 10125-2021、GB/T 6461-2002、QB/T 3832-1999,检测项目包括：外观性能要求(金属件电镀层)，中性盐雾试验(100h)，提供完整的检测报告得1分，缺项或达不到性能要求不得分。</w:t>
            </w:r>
          </w:p>
          <w:p w14:paraId="3F5D6A76">
            <w:pPr>
              <w:widowControl/>
              <w:jc w:val="left"/>
              <w:rPr>
                <w:rFonts w:ascii="宋体" w:hAnsi="宋体"/>
              </w:rPr>
            </w:pPr>
            <w:r>
              <w:rPr>
                <w:rFonts w:hint="eastAsia" w:ascii="宋体" w:hAnsi="宋体"/>
              </w:rPr>
              <w:t>3、提供</w:t>
            </w:r>
            <w:r>
              <w:rPr>
                <w:rFonts w:hint="eastAsia" w:ascii="宋体" w:hAnsi="宋体"/>
                <w:b/>
                <w:bCs/>
              </w:rPr>
              <w:t>导轨</w:t>
            </w:r>
            <w:r>
              <w:rPr>
                <w:rFonts w:hint="eastAsia" w:ascii="宋体" w:hAnsi="宋体"/>
              </w:rPr>
              <w:t>检测报告，检验依据符合：QB/T 3827-1999、QB/T 3832-1999、</w:t>
            </w:r>
          </w:p>
          <w:p w14:paraId="507B5417">
            <w:pPr>
              <w:widowControl/>
              <w:ind w:firstLine="0" w:firstLineChars="0"/>
              <w:jc w:val="left"/>
              <w:rPr>
                <w:rFonts w:ascii="宋体" w:hAnsi="宋体"/>
              </w:rPr>
            </w:pPr>
            <w:r>
              <w:rPr>
                <w:rFonts w:hint="eastAsia" w:ascii="宋体" w:hAnsi="宋体"/>
              </w:rPr>
              <w:t>QB/T 2454-2013,检测项目包括：乙酸盐雾试验、操作力、耐久性、拉出安全性、猛关、猛开，提供完整的检测报告得1分，缺项或达不到性能要求不得分。</w:t>
            </w:r>
          </w:p>
          <w:p w14:paraId="4EA12B6F">
            <w:pPr>
              <w:widowControl/>
              <w:ind w:firstLine="0" w:firstLineChars="0"/>
              <w:jc w:val="left"/>
              <w:rPr>
                <w:rFonts w:ascii="宋体" w:hAnsi="宋体"/>
              </w:rPr>
            </w:pPr>
            <w:r>
              <w:rPr>
                <w:rFonts w:hint="eastAsia" w:ascii="宋体" w:hAnsi="宋体"/>
              </w:rPr>
              <w:t xml:space="preserve">   4、提供</w:t>
            </w:r>
            <w:r>
              <w:rPr>
                <w:rFonts w:hint="eastAsia" w:ascii="宋体" w:hAnsi="宋体"/>
                <w:b/>
                <w:bCs/>
              </w:rPr>
              <w:t>岩板</w:t>
            </w:r>
            <w:r>
              <w:rPr>
                <w:rFonts w:hint="eastAsia" w:ascii="宋体" w:hAnsi="宋体"/>
              </w:rPr>
              <w:t>检测报告，检验依据符合JC/T 908-2013、GB/T 3810.4-2016，检测项目包括：外观质量、吸水率、耐磨性、断裂模数△、破坏强度△、莫氏硬度△、线性热膨胀系数△，提供完整的检测报告得1分，缺项或达不到性能要求不得分。</w:t>
            </w:r>
          </w:p>
          <w:p w14:paraId="131FD521">
            <w:pPr>
              <w:rPr>
                <w:rFonts w:ascii="宋体" w:hAnsi="宋体"/>
              </w:rPr>
            </w:pPr>
            <w:r>
              <w:rPr>
                <w:rFonts w:hint="eastAsia" w:ascii="宋体" w:hAnsi="宋体"/>
              </w:rPr>
              <w:t>5、提供</w:t>
            </w:r>
            <w:r>
              <w:rPr>
                <w:rFonts w:hint="eastAsia" w:ascii="宋体" w:hAnsi="宋体"/>
                <w:b/>
                <w:bCs/>
              </w:rPr>
              <w:t>床垫</w:t>
            </w:r>
            <w:r>
              <w:rPr>
                <w:rFonts w:hint="eastAsia" w:ascii="宋体" w:hAnsi="宋体"/>
              </w:rPr>
              <w:t>检测报告，检验依据符合QB/T 1952.2-2011、GB/T 24253-2009标准，检测项目至少包含：卫生、安全（阻燃性能，家庭用:在规定的床垫面上放置一支点燃的香烟，在1h内，床垫不得有阴燃或有焰燃烧引燃现象）、防螨性能(驱避率)≥60%，提供完整的检测报告得1分，缺项或达不到性能要求不得分。</w:t>
            </w:r>
          </w:p>
          <w:p w14:paraId="5B8D9D92">
            <w:r>
              <w:rPr>
                <w:rFonts w:hint="eastAsia" w:ascii="宋体" w:hAnsi="宋体"/>
              </w:rPr>
              <w:t>6、提供</w:t>
            </w:r>
            <w:r>
              <w:rPr>
                <w:rFonts w:hint="eastAsia" w:ascii="宋体" w:hAnsi="宋体"/>
                <w:b/>
                <w:bCs/>
              </w:rPr>
              <w:t>刨花板</w:t>
            </w:r>
            <w:r>
              <w:rPr>
                <w:rFonts w:hint="eastAsia" w:ascii="宋体" w:hAnsi="宋体"/>
              </w:rPr>
              <w:t>检测报告，检验依据符合：GB/T 15102-2017、GB 8624-2012、GB/T 35601-2017、GB/T 35690-2017,检测项目包括：静曲强度、弹性模量、2h吸水厚度膨胀率、含水率、密度、板内密度偏差、表面胶合强度、内结合强度、甲醛释放量、磁导率试验、挥发性有机化合物(72h)[苯、甲苯，二甲苯、总挥发性有机化合物(TVOC)]、平板状建筑材料及制品的燃烧性能等级B1(C-s2,d0)、抗菌性能(金黄色葡萄球菌 AS 1.89、大肠杆菌 AS 1.90)、可溶性重金属(铅、镉、铬、汞)总含量，提供完整的检测报告得1分，缺项或达不到性能要求不得分。</w:t>
            </w:r>
          </w:p>
        </w:tc>
        <w:tc>
          <w:tcPr>
            <w:tcW w:w="977" w:type="dxa"/>
            <w:tcBorders>
              <w:top w:val="single" w:color="000000" w:sz="4" w:space="0"/>
              <w:left w:val="single" w:color="000000" w:sz="4" w:space="0"/>
              <w:right w:val="single" w:color="000000" w:sz="4" w:space="0"/>
            </w:tcBorders>
            <w:vAlign w:val="center"/>
          </w:tcPr>
          <w:p w14:paraId="61B7FEBB">
            <w:pPr>
              <w:ind w:firstLine="0" w:firstLineChars="0"/>
              <w:jc w:val="center"/>
            </w:pPr>
            <w:r>
              <w:rPr>
                <w:rFonts w:hint="eastAsia"/>
              </w:rPr>
              <w:t>6</w:t>
            </w:r>
          </w:p>
        </w:tc>
      </w:tr>
      <w:tr w14:paraId="26E9A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61" w:hRule="atLeast"/>
          <w:jc w:val="center"/>
        </w:trPr>
        <w:tc>
          <w:tcPr>
            <w:tcW w:w="1485" w:type="dxa"/>
            <w:tcBorders>
              <w:left w:val="single" w:color="000000" w:sz="4" w:space="0"/>
              <w:right w:val="single" w:color="000000" w:sz="4" w:space="0"/>
            </w:tcBorders>
            <w:vAlign w:val="center"/>
          </w:tcPr>
          <w:p w14:paraId="1468479B">
            <w:pPr>
              <w:ind w:firstLine="0" w:firstLineChars="0"/>
              <w:jc w:val="center"/>
            </w:pPr>
            <w:r>
              <w:rPr>
                <w:rFonts w:hint="eastAsia"/>
              </w:rPr>
              <w:t>企业实力</w:t>
            </w:r>
          </w:p>
          <w:p w14:paraId="126C8385">
            <w:pPr>
              <w:pStyle w:val="2"/>
              <w:ind w:firstLine="0" w:firstLineChars="0"/>
              <w:jc w:val="center"/>
            </w:pPr>
            <w:r>
              <w:rPr>
                <w:rFonts w:hint="eastAsia" w:ascii="Times New Roman"/>
                <w:sz w:val="21"/>
                <w:szCs w:val="21"/>
              </w:rPr>
              <w:t>（</w:t>
            </w:r>
            <w:r>
              <w:rPr>
                <w:rFonts w:ascii="Times New Roman"/>
                <w:sz w:val="21"/>
                <w:szCs w:val="21"/>
              </w:rPr>
              <w:t>8</w:t>
            </w:r>
            <w:r>
              <w:rPr>
                <w:rFonts w:hint="eastAsia" w:ascii="Times New Roman"/>
                <w:sz w:val="21"/>
                <w:szCs w:val="21"/>
              </w:rPr>
              <w:t>分）</w:t>
            </w:r>
          </w:p>
        </w:tc>
        <w:tc>
          <w:tcPr>
            <w:tcW w:w="7636" w:type="dxa"/>
            <w:tcBorders>
              <w:top w:val="single" w:color="000000" w:sz="4" w:space="0"/>
              <w:left w:val="single" w:color="000000" w:sz="4" w:space="0"/>
              <w:right w:val="single" w:color="000000" w:sz="4" w:space="0"/>
            </w:tcBorders>
            <w:vAlign w:val="center"/>
          </w:tcPr>
          <w:p w14:paraId="7047CDAF">
            <w:pPr>
              <w:rPr>
                <w:rFonts w:ascii="宋体" w:hAnsi="宋体"/>
              </w:rPr>
            </w:pPr>
            <w:r>
              <w:rPr>
                <w:rFonts w:hint="eastAsia" w:ascii="宋体" w:hAnsi="宋体"/>
              </w:rPr>
              <w:t>1、所投产品制造商具有有效期内的质量管理体系认证证书、环境管理体系认证证书、职业健康安全管理体系认证证书（认证产品范围至少包含：木制家具、沙发家具、座椅家具、餐厅家具（或餐桌椅）、人造石家具），每提供一项体系认证证书得1分，最高得3分。</w:t>
            </w:r>
          </w:p>
          <w:p w14:paraId="3893952C">
            <w:pPr>
              <w:rPr>
                <w:rFonts w:ascii="宋体" w:hAnsi="宋体"/>
              </w:rPr>
            </w:pPr>
            <w:r>
              <w:rPr>
                <w:rFonts w:hint="eastAsia" w:ascii="宋体" w:hAnsi="宋体"/>
              </w:rPr>
              <w:t>2、所投产品制造商具有有效期内的有害物质限量认证证书（GB/T 35607-2017)，产品类别至少包含：木家具类-桌台类、金属家具类-柜架类、软体家具类-沙发类、软体家具类-椅类，符合得2分，否则不得分。</w:t>
            </w:r>
          </w:p>
          <w:p w14:paraId="3FEE4CD8">
            <w:pPr>
              <w:rPr>
                <w:rFonts w:ascii="宋体" w:hAnsi="宋体"/>
              </w:rPr>
            </w:pPr>
            <w:r>
              <w:rPr>
                <w:rFonts w:hint="eastAsia" w:ascii="宋体" w:hAnsi="宋体"/>
              </w:rPr>
              <w:t>3、所投产品制造商具有有效期内的低VOCs家具产品认证证书，认证范围至少包含木家具、金属家具、软体家具，得</w:t>
            </w:r>
            <w:r>
              <w:rPr>
                <w:rFonts w:ascii="宋体" w:hAnsi="宋体"/>
              </w:rPr>
              <w:t>1.5</w:t>
            </w:r>
            <w:r>
              <w:rPr>
                <w:rFonts w:hint="eastAsia" w:ascii="宋体" w:hAnsi="宋体"/>
              </w:rPr>
              <w:t>分，否则不得分。</w:t>
            </w:r>
          </w:p>
          <w:p w14:paraId="018BDE97">
            <w:r>
              <w:rPr>
                <w:rFonts w:hint="eastAsia" w:ascii="宋体" w:hAnsi="宋体"/>
              </w:rPr>
              <w:t>4、所投产品制造商具有售后服务五星认证证书，服务认证范围至少包含但不限于：软体家具、实木家具、板式家具，有的得</w:t>
            </w:r>
            <w:r>
              <w:rPr>
                <w:rFonts w:ascii="宋体" w:hAnsi="宋体"/>
              </w:rPr>
              <w:t>1.5</w:t>
            </w:r>
            <w:r>
              <w:rPr>
                <w:rFonts w:hint="eastAsia" w:ascii="宋体" w:hAnsi="宋体"/>
              </w:rPr>
              <w:t>分，否则不得分。</w:t>
            </w:r>
          </w:p>
        </w:tc>
        <w:tc>
          <w:tcPr>
            <w:tcW w:w="977" w:type="dxa"/>
            <w:tcBorders>
              <w:top w:val="single" w:color="000000" w:sz="4" w:space="0"/>
              <w:left w:val="single" w:color="000000" w:sz="4" w:space="0"/>
              <w:right w:val="single" w:color="000000" w:sz="4" w:space="0"/>
            </w:tcBorders>
            <w:vAlign w:val="center"/>
          </w:tcPr>
          <w:p w14:paraId="68E24672">
            <w:pPr>
              <w:ind w:firstLine="0" w:firstLineChars="0"/>
              <w:jc w:val="center"/>
            </w:pPr>
            <w:r>
              <w:t>8</w:t>
            </w:r>
          </w:p>
        </w:tc>
      </w:tr>
      <w:tr w14:paraId="41B2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340" w:hRule="atLeast"/>
          <w:jc w:val="center"/>
        </w:trPr>
        <w:tc>
          <w:tcPr>
            <w:tcW w:w="1485" w:type="dxa"/>
            <w:tcBorders>
              <w:left w:val="single" w:color="000000" w:sz="4" w:space="0"/>
              <w:right w:val="single" w:color="000000" w:sz="4" w:space="0"/>
            </w:tcBorders>
            <w:vAlign w:val="center"/>
          </w:tcPr>
          <w:p w14:paraId="42C398C4">
            <w:pPr>
              <w:ind w:firstLine="0" w:firstLineChars="0"/>
              <w:jc w:val="center"/>
            </w:pPr>
            <w:r>
              <w:rPr>
                <w:rFonts w:hint="eastAsia"/>
              </w:rPr>
              <w:t>业绩</w:t>
            </w:r>
          </w:p>
          <w:p w14:paraId="15CBE01C">
            <w:pPr>
              <w:ind w:firstLine="0" w:firstLineChars="0"/>
              <w:jc w:val="center"/>
            </w:pPr>
            <w:r>
              <w:rPr>
                <w:rFonts w:hint="eastAsia"/>
              </w:rPr>
              <w:t>（5分）</w:t>
            </w:r>
          </w:p>
        </w:tc>
        <w:tc>
          <w:tcPr>
            <w:tcW w:w="7636" w:type="dxa"/>
            <w:tcBorders>
              <w:top w:val="single" w:color="000000" w:sz="4" w:space="0"/>
              <w:left w:val="single" w:color="000000" w:sz="4" w:space="0"/>
              <w:right w:val="single" w:color="000000" w:sz="4" w:space="0"/>
            </w:tcBorders>
            <w:vAlign w:val="center"/>
          </w:tcPr>
          <w:p w14:paraId="38F22CA3">
            <w:r>
              <w:rPr>
                <w:rFonts w:hint="eastAsia"/>
              </w:rPr>
              <w:t>企业自20</w:t>
            </w:r>
            <w:r>
              <w:t>21</w:t>
            </w:r>
            <w:r>
              <w:rPr>
                <w:rFonts w:hint="eastAsia"/>
              </w:rPr>
              <w:t>年1月1日以来（以合同签订时间为准）承担过单项合同金额不低于300</w:t>
            </w:r>
            <w:r>
              <w:t>万元的</w:t>
            </w:r>
            <w:r>
              <w:rPr>
                <w:rFonts w:hint="eastAsia"/>
              </w:rPr>
              <w:t>居住</w:t>
            </w:r>
            <w:r>
              <w:t>类家具</w:t>
            </w:r>
            <w:r>
              <w:rPr>
                <w:rFonts w:hint="eastAsia"/>
              </w:rPr>
              <w:t>供货业绩的（含</w:t>
            </w:r>
            <w:r>
              <w:t>酒店类，不含办公类家具</w:t>
            </w:r>
            <w:r>
              <w:rPr>
                <w:rFonts w:hint="eastAsia"/>
              </w:rPr>
              <w:t>），每有一个得2.5分，满分</w:t>
            </w:r>
            <w:r>
              <w:t xml:space="preserve"> </w:t>
            </w:r>
            <w:r>
              <w:rPr>
                <w:rFonts w:hint="eastAsia"/>
              </w:rPr>
              <w:t>5分。</w:t>
            </w:r>
          </w:p>
          <w:p w14:paraId="2D57B0BA">
            <w:r>
              <w:rPr>
                <w:rFonts w:hint="eastAsia"/>
              </w:rPr>
              <w:t>注：需提供中标通知书（非招标项目不需提供，但须提供发包人或主管部门出具的加盖单位公章的直接发包证明）、合同以及能证明业绩真实性的辅助材料。</w:t>
            </w:r>
          </w:p>
        </w:tc>
        <w:tc>
          <w:tcPr>
            <w:tcW w:w="977" w:type="dxa"/>
            <w:tcBorders>
              <w:top w:val="single" w:color="000000" w:sz="4" w:space="0"/>
              <w:left w:val="single" w:color="000000" w:sz="4" w:space="0"/>
              <w:right w:val="single" w:color="000000" w:sz="4" w:space="0"/>
            </w:tcBorders>
            <w:vAlign w:val="center"/>
          </w:tcPr>
          <w:p w14:paraId="7E50C5F2">
            <w:pPr>
              <w:ind w:firstLine="0" w:firstLineChars="0"/>
              <w:jc w:val="center"/>
            </w:pPr>
            <w:r>
              <w:rPr>
                <w:rFonts w:hint="eastAsia"/>
              </w:rPr>
              <w:t>5</w:t>
            </w:r>
          </w:p>
        </w:tc>
      </w:tr>
      <w:tr w14:paraId="3DCCF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8" w:hRule="atLeast"/>
          <w:jc w:val="center"/>
        </w:trPr>
        <w:tc>
          <w:tcPr>
            <w:tcW w:w="1485" w:type="dxa"/>
            <w:vMerge w:val="restart"/>
            <w:tcBorders>
              <w:left w:val="single" w:color="000000" w:sz="4" w:space="0"/>
              <w:right w:val="single" w:color="000000" w:sz="4" w:space="0"/>
            </w:tcBorders>
            <w:vAlign w:val="center"/>
          </w:tcPr>
          <w:p w14:paraId="1C2099CF">
            <w:pPr>
              <w:ind w:firstLine="0" w:firstLineChars="0"/>
              <w:jc w:val="center"/>
            </w:pPr>
            <w:r>
              <w:rPr>
                <w:rFonts w:hint="eastAsia"/>
              </w:rPr>
              <w:t>技术部分</w:t>
            </w:r>
          </w:p>
          <w:p w14:paraId="7A3037C2">
            <w:pPr>
              <w:ind w:firstLine="0" w:firstLineChars="0"/>
              <w:jc w:val="center"/>
            </w:pPr>
            <w:r>
              <w:rPr>
                <w:rFonts w:hint="eastAsia"/>
              </w:rPr>
              <w:t>（</w:t>
            </w:r>
            <w:r>
              <w:t>20</w:t>
            </w:r>
            <w:r>
              <w:rPr>
                <w:rFonts w:hint="eastAsia"/>
              </w:rPr>
              <w:t>分）</w:t>
            </w:r>
          </w:p>
        </w:tc>
        <w:tc>
          <w:tcPr>
            <w:tcW w:w="7636" w:type="dxa"/>
            <w:tcBorders>
              <w:top w:val="single" w:color="auto" w:sz="4" w:space="0"/>
              <w:left w:val="nil"/>
              <w:bottom w:val="single" w:color="auto" w:sz="4" w:space="0"/>
              <w:right w:val="single" w:color="auto" w:sz="4" w:space="0"/>
            </w:tcBorders>
          </w:tcPr>
          <w:p w14:paraId="5CB3AEBC">
            <w:r>
              <w:rPr>
                <w:rFonts w:hint="eastAsia"/>
              </w:rPr>
              <w:t>1、</w:t>
            </w:r>
            <w:r>
              <w:rPr>
                <w:rFonts w:hint="eastAsia"/>
                <w:lang w:val="zh-CN"/>
              </w:rPr>
              <w:t>项目实施方案：</w:t>
            </w:r>
            <w:r>
              <w:rPr>
                <w:rFonts w:hint="eastAsia"/>
              </w:rPr>
              <w:t>对本项目实施方案（组织措施、安装、调试、验收方案）进行综合评定。根据投标单位拟定的项目实施方案的科学性、合理性、可行性、针对性综合比较。项目实施方案的科学、合理、可行、针对性强的得</w:t>
            </w:r>
            <w:r>
              <w:t>3-4</w:t>
            </w:r>
            <w:r>
              <w:rPr>
                <w:rFonts w:hint="eastAsia"/>
              </w:rPr>
              <w:t>分；项目实施方案切实可行、稍有针对性的得</w:t>
            </w:r>
            <w:r>
              <w:t>2</w:t>
            </w:r>
            <w:r>
              <w:rPr>
                <w:rFonts w:hint="eastAsia"/>
              </w:rPr>
              <w:t>-</w:t>
            </w:r>
            <w:r>
              <w:t>2</w:t>
            </w:r>
            <w:r>
              <w:rPr>
                <w:rFonts w:hint="eastAsia"/>
              </w:rPr>
              <w:t>.99分；项目实施方案一般、针对性一般的得0-</w:t>
            </w:r>
            <w:r>
              <w:t>1</w:t>
            </w:r>
            <w:r>
              <w:rPr>
                <w:rFonts w:hint="eastAsia"/>
              </w:rPr>
              <w:t>.99分；未提供不得分。</w:t>
            </w:r>
          </w:p>
        </w:tc>
        <w:tc>
          <w:tcPr>
            <w:tcW w:w="977" w:type="dxa"/>
            <w:tcBorders>
              <w:top w:val="single" w:color="auto" w:sz="4" w:space="0"/>
              <w:left w:val="nil"/>
              <w:bottom w:val="single" w:color="auto" w:sz="4" w:space="0"/>
              <w:right w:val="single" w:color="auto" w:sz="4" w:space="0"/>
            </w:tcBorders>
            <w:vAlign w:val="center"/>
          </w:tcPr>
          <w:p w14:paraId="0DE31A86">
            <w:pPr>
              <w:ind w:firstLine="0" w:firstLineChars="0"/>
              <w:jc w:val="center"/>
            </w:pPr>
            <w:r>
              <w:t>4</w:t>
            </w:r>
          </w:p>
        </w:tc>
      </w:tr>
      <w:tr w14:paraId="1EAF9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56" w:hRule="atLeast"/>
          <w:jc w:val="center"/>
        </w:trPr>
        <w:tc>
          <w:tcPr>
            <w:tcW w:w="1485" w:type="dxa"/>
            <w:vMerge w:val="continue"/>
            <w:tcBorders>
              <w:left w:val="single" w:color="000000" w:sz="4" w:space="0"/>
              <w:right w:val="single" w:color="000000" w:sz="4" w:space="0"/>
            </w:tcBorders>
            <w:vAlign w:val="center"/>
          </w:tcPr>
          <w:p w14:paraId="72094854">
            <w:pPr>
              <w:ind w:firstLine="0" w:firstLineChars="0"/>
              <w:jc w:val="center"/>
            </w:pPr>
          </w:p>
        </w:tc>
        <w:tc>
          <w:tcPr>
            <w:tcW w:w="7636" w:type="dxa"/>
            <w:tcBorders>
              <w:top w:val="single" w:color="auto" w:sz="4" w:space="0"/>
              <w:left w:val="nil"/>
              <w:bottom w:val="single" w:color="auto" w:sz="4" w:space="0"/>
              <w:right w:val="single" w:color="auto" w:sz="4" w:space="0"/>
            </w:tcBorders>
          </w:tcPr>
          <w:p w14:paraId="21DD861B">
            <w:r>
              <w:rPr>
                <w:rFonts w:hint="eastAsia"/>
              </w:rPr>
              <w:t>2、</w:t>
            </w:r>
            <w:r>
              <w:rPr>
                <w:rFonts w:hint="eastAsia"/>
                <w:lang w:val="zh-CN"/>
              </w:rPr>
              <w:t>供货保障方案：</w:t>
            </w:r>
            <w:r>
              <w:rPr>
                <w:rFonts w:hint="eastAsia"/>
              </w:rPr>
              <w:t>在满足招标文件工期要求的基础上，根据材料采购、生产及供货方案、保证工期的措施等进行综合评定。根据投标单位提供的项目进度安排对可行性、合理性进行综合比较。方案可行性、合理性强的得</w:t>
            </w:r>
            <w:r>
              <w:t>3-4</w:t>
            </w:r>
            <w:r>
              <w:rPr>
                <w:rFonts w:hint="eastAsia"/>
              </w:rPr>
              <w:t>分；方案具有切实可行性、有一定合理性的得</w:t>
            </w:r>
            <w:r>
              <w:t>2-2.99</w:t>
            </w:r>
            <w:r>
              <w:rPr>
                <w:rFonts w:hint="eastAsia"/>
              </w:rPr>
              <w:t>分；方案整体可行，有一定欠缺的得0-</w:t>
            </w:r>
            <w:r>
              <w:t>1</w:t>
            </w:r>
            <w:r>
              <w:rPr>
                <w:rFonts w:hint="eastAsia"/>
              </w:rPr>
              <w:t>.99分；未提供不得分。</w:t>
            </w:r>
          </w:p>
        </w:tc>
        <w:tc>
          <w:tcPr>
            <w:tcW w:w="977" w:type="dxa"/>
            <w:tcBorders>
              <w:top w:val="single" w:color="auto" w:sz="4" w:space="0"/>
              <w:left w:val="nil"/>
              <w:bottom w:val="single" w:color="auto" w:sz="4" w:space="0"/>
              <w:right w:val="single" w:color="auto" w:sz="4" w:space="0"/>
            </w:tcBorders>
            <w:vAlign w:val="center"/>
          </w:tcPr>
          <w:p w14:paraId="4F7E2586">
            <w:pPr>
              <w:ind w:firstLine="0" w:firstLineChars="0"/>
              <w:jc w:val="center"/>
            </w:pPr>
            <w:r>
              <w:t>4</w:t>
            </w:r>
          </w:p>
        </w:tc>
      </w:tr>
      <w:tr w14:paraId="5A329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74" w:hRule="atLeast"/>
          <w:jc w:val="center"/>
        </w:trPr>
        <w:tc>
          <w:tcPr>
            <w:tcW w:w="1485" w:type="dxa"/>
            <w:vMerge w:val="continue"/>
            <w:tcBorders>
              <w:left w:val="single" w:color="000000" w:sz="4" w:space="0"/>
              <w:right w:val="single" w:color="000000" w:sz="4" w:space="0"/>
            </w:tcBorders>
            <w:vAlign w:val="center"/>
          </w:tcPr>
          <w:p w14:paraId="4DCE7D77">
            <w:pPr>
              <w:ind w:firstLine="0" w:firstLineChars="0"/>
              <w:jc w:val="center"/>
            </w:pPr>
          </w:p>
        </w:tc>
        <w:tc>
          <w:tcPr>
            <w:tcW w:w="7636" w:type="dxa"/>
            <w:tcBorders>
              <w:top w:val="single" w:color="auto" w:sz="4" w:space="0"/>
              <w:left w:val="nil"/>
              <w:bottom w:val="single" w:color="auto" w:sz="4" w:space="0"/>
              <w:right w:val="single" w:color="auto" w:sz="4" w:space="0"/>
            </w:tcBorders>
            <w:vAlign w:val="center"/>
          </w:tcPr>
          <w:p w14:paraId="4FFCFFBD">
            <w:r>
              <w:rPr>
                <w:rFonts w:hint="eastAsia"/>
              </w:rPr>
              <w:t>3、质量保证方案：</w:t>
            </w:r>
            <w:r>
              <w:rPr>
                <w:rFonts w:hint="eastAsia"/>
                <w:lang w:val="zh-CN"/>
              </w:rPr>
              <w:t>根据产品的质量保证体系措施和确保产品生产过程中的质量控制措施等情况进行评价。</w:t>
            </w:r>
            <w:r>
              <w:rPr>
                <w:rFonts w:hint="eastAsia"/>
              </w:rPr>
              <w:t>方案可行性、合理性强的得</w:t>
            </w:r>
            <w:r>
              <w:t>3-4</w:t>
            </w:r>
            <w:r>
              <w:rPr>
                <w:rFonts w:hint="eastAsia"/>
              </w:rPr>
              <w:t>分；方案安排主次一般，措施基本全面的得</w:t>
            </w:r>
            <w:r>
              <w:t>2-2.99</w:t>
            </w:r>
            <w:r>
              <w:rPr>
                <w:rFonts w:hint="eastAsia"/>
              </w:rPr>
              <w:t>分；方案安排存在明显的漏洞，有一定欠缺的得0-</w:t>
            </w:r>
            <w:r>
              <w:t>1</w:t>
            </w:r>
            <w:r>
              <w:rPr>
                <w:rFonts w:hint="eastAsia"/>
              </w:rPr>
              <w:t>.99分；未提供不得分。</w:t>
            </w:r>
          </w:p>
        </w:tc>
        <w:tc>
          <w:tcPr>
            <w:tcW w:w="977" w:type="dxa"/>
            <w:tcBorders>
              <w:top w:val="single" w:color="auto" w:sz="4" w:space="0"/>
              <w:left w:val="nil"/>
              <w:bottom w:val="single" w:color="auto" w:sz="4" w:space="0"/>
              <w:right w:val="single" w:color="auto" w:sz="4" w:space="0"/>
            </w:tcBorders>
            <w:vAlign w:val="center"/>
          </w:tcPr>
          <w:p w14:paraId="68DA0875">
            <w:r>
              <w:t>4</w:t>
            </w:r>
          </w:p>
        </w:tc>
      </w:tr>
      <w:tr w14:paraId="50364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1485" w:type="dxa"/>
            <w:vMerge w:val="continue"/>
            <w:tcBorders>
              <w:left w:val="single" w:color="000000" w:sz="4" w:space="0"/>
              <w:right w:val="single" w:color="000000" w:sz="4" w:space="0"/>
            </w:tcBorders>
            <w:vAlign w:val="center"/>
          </w:tcPr>
          <w:p w14:paraId="62F179DA">
            <w:pPr>
              <w:ind w:firstLine="0" w:firstLineChars="0"/>
              <w:jc w:val="center"/>
            </w:pPr>
          </w:p>
        </w:tc>
        <w:tc>
          <w:tcPr>
            <w:tcW w:w="7636" w:type="dxa"/>
            <w:tcBorders>
              <w:top w:val="single" w:color="auto" w:sz="4" w:space="0"/>
              <w:left w:val="nil"/>
              <w:bottom w:val="single" w:color="auto" w:sz="4" w:space="0"/>
              <w:right w:val="single" w:color="auto" w:sz="4" w:space="0"/>
            </w:tcBorders>
            <w:vAlign w:val="center"/>
          </w:tcPr>
          <w:p w14:paraId="442F6C7A">
            <w:r>
              <w:rPr>
                <w:rFonts w:hint="eastAsia"/>
              </w:rPr>
              <w:t>4、</w:t>
            </w:r>
            <w:r>
              <w:rPr>
                <w:rFonts w:hint="eastAsia"/>
                <w:lang w:val="zh-CN"/>
              </w:rPr>
              <w:t>售后服务承诺</w:t>
            </w:r>
            <w:r>
              <w:rPr>
                <w:rFonts w:hint="eastAsia"/>
              </w:rPr>
              <w:t>：根据投标人提供的针对本项目的售后服务体系、售后服务方式、售后服务具体内容、应急措施、配合措施等方案的符合程度酌情评定。方案完整详细、满足项目需求的得</w:t>
            </w:r>
            <w:r>
              <w:t>3-4</w:t>
            </w:r>
            <w:r>
              <w:rPr>
                <w:rFonts w:hint="eastAsia"/>
              </w:rPr>
              <w:t>分；方案较为详细、基本满足项目需求的得</w:t>
            </w:r>
            <w:r>
              <w:t>2</w:t>
            </w:r>
            <w:r>
              <w:rPr>
                <w:rFonts w:hint="eastAsia"/>
              </w:rPr>
              <w:t>-</w:t>
            </w:r>
            <w:r>
              <w:t>2</w:t>
            </w:r>
            <w:r>
              <w:rPr>
                <w:rFonts w:hint="eastAsia"/>
              </w:rPr>
              <w:t>.99分；方案不太完整、勉强满足项目需求的得0-</w:t>
            </w:r>
            <w:r>
              <w:t>1</w:t>
            </w:r>
            <w:r>
              <w:rPr>
                <w:rFonts w:hint="eastAsia"/>
              </w:rPr>
              <w:t>.99分；未提供不得分。</w:t>
            </w:r>
          </w:p>
        </w:tc>
        <w:tc>
          <w:tcPr>
            <w:tcW w:w="977" w:type="dxa"/>
            <w:tcBorders>
              <w:top w:val="single" w:color="auto" w:sz="4" w:space="0"/>
              <w:left w:val="nil"/>
              <w:bottom w:val="single" w:color="auto" w:sz="4" w:space="0"/>
              <w:right w:val="single" w:color="auto" w:sz="4" w:space="0"/>
            </w:tcBorders>
            <w:vAlign w:val="center"/>
          </w:tcPr>
          <w:p w14:paraId="3CA3E003">
            <w:r>
              <w:t>4</w:t>
            </w:r>
          </w:p>
        </w:tc>
      </w:tr>
      <w:tr w14:paraId="46CD7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3" w:hRule="atLeast"/>
          <w:jc w:val="center"/>
        </w:trPr>
        <w:tc>
          <w:tcPr>
            <w:tcW w:w="1485" w:type="dxa"/>
            <w:vMerge w:val="continue"/>
            <w:tcBorders>
              <w:left w:val="single" w:color="000000" w:sz="4" w:space="0"/>
              <w:right w:val="single" w:color="000000" w:sz="4" w:space="0"/>
            </w:tcBorders>
            <w:vAlign w:val="center"/>
          </w:tcPr>
          <w:p w14:paraId="4E72FB07">
            <w:pPr>
              <w:ind w:firstLine="0" w:firstLineChars="0"/>
              <w:jc w:val="center"/>
            </w:pPr>
          </w:p>
        </w:tc>
        <w:tc>
          <w:tcPr>
            <w:tcW w:w="7636" w:type="dxa"/>
            <w:tcBorders>
              <w:top w:val="single" w:color="auto" w:sz="4" w:space="0"/>
              <w:left w:val="nil"/>
              <w:bottom w:val="single" w:color="auto" w:sz="4" w:space="0"/>
              <w:right w:val="single" w:color="auto" w:sz="4" w:space="0"/>
            </w:tcBorders>
            <w:vAlign w:val="center"/>
          </w:tcPr>
          <w:p w14:paraId="1DB0AB9A">
            <w:r>
              <w:rPr>
                <w:rFonts w:hint="eastAsia"/>
              </w:rPr>
              <w:t>5</w:t>
            </w:r>
            <w:r>
              <w:t>.</w:t>
            </w:r>
            <w:r>
              <w:rPr>
                <w:rFonts w:hint="eastAsia"/>
              </w:rPr>
              <w:t xml:space="preserve"> 根据投标人承诺质保期进行评审，计分标准：</w:t>
            </w:r>
          </w:p>
          <w:p w14:paraId="1F1729F5">
            <w:r>
              <w:rPr>
                <w:rFonts w:hint="eastAsia"/>
              </w:rPr>
              <w:t>投标人承诺质保期为两年得基本分1分；</w:t>
            </w:r>
          </w:p>
          <w:p w14:paraId="33CB9669">
            <w:r>
              <w:rPr>
                <w:rFonts w:hint="eastAsia"/>
              </w:rPr>
              <w:t>投标人承诺质保期为3年的，得2分；</w:t>
            </w:r>
          </w:p>
          <w:p w14:paraId="4E4027D5">
            <w:r>
              <w:rPr>
                <w:rFonts w:hint="eastAsia"/>
              </w:rPr>
              <w:t>投标人承诺质保期为4年的，得3分；</w:t>
            </w:r>
          </w:p>
          <w:p w14:paraId="1750184B">
            <w:r>
              <w:rPr>
                <w:rFonts w:hint="eastAsia"/>
              </w:rPr>
              <w:t>投标人承诺质保期为5年的，得4分。</w:t>
            </w:r>
          </w:p>
          <w:p w14:paraId="0C8F2BCC">
            <w:r>
              <w:rPr>
                <w:rFonts w:hint="eastAsia"/>
              </w:rPr>
              <w:t>注：本项最高得分为4分，质保期承诺低于两年的按无效投标文件处理。</w:t>
            </w:r>
          </w:p>
        </w:tc>
        <w:tc>
          <w:tcPr>
            <w:tcW w:w="977" w:type="dxa"/>
            <w:tcBorders>
              <w:top w:val="single" w:color="auto" w:sz="4" w:space="0"/>
              <w:left w:val="nil"/>
              <w:bottom w:val="single" w:color="auto" w:sz="4" w:space="0"/>
              <w:right w:val="single" w:color="auto" w:sz="4" w:space="0"/>
            </w:tcBorders>
            <w:vAlign w:val="center"/>
          </w:tcPr>
          <w:p w14:paraId="7C984CC2">
            <w:r>
              <w:t>4</w:t>
            </w:r>
          </w:p>
        </w:tc>
      </w:tr>
      <w:tr w14:paraId="6995F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0" w:hRule="atLeast"/>
          <w:jc w:val="center"/>
        </w:trPr>
        <w:tc>
          <w:tcPr>
            <w:tcW w:w="1485" w:type="dxa"/>
            <w:tcBorders>
              <w:left w:val="single" w:color="000000" w:sz="4" w:space="0"/>
              <w:right w:val="single" w:color="000000" w:sz="4" w:space="0"/>
            </w:tcBorders>
            <w:vAlign w:val="center"/>
          </w:tcPr>
          <w:p w14:paraId="3A697DA5">
            <w:pPr>
              <w:ind w:firstLine="0" w:firstLineChars="0"/>
              <w:jc w:val="center"/>
            </w:pPr>
            <w:r>
              <w:rPr>
                <w:rFonts w:hint="eastAsia"/>
              </w:rPr>
              <w:t>诚信投标</w:t>
            </w:r>
          </w:p>
          <w:p w14:paraId="1B1A0B65">
            <w:pPr>
              <w:ind w:firstLine="0" w:firstLineChars="0"/>
              <w:jc w:val="center"/>
              <w:rPr>
                <w:rFonts w:ascii="宋体" w:hAnsi="宋体" w:cs="宋体"/>
                <w:color w:val="000000"/>
              </w:rPr>
            </w:pPr>
            <w:r>
              <w:rPr>
                <w:rFonts w:hint="eastAsia"/>
              </w:rPr>
              <w:t>（1分）</w:t>
            </w:r>
          </w:p>
        </w:tc>
        <w:tc>
          <w:tcPr>
            <w:tcW w:w="7636" w:type="dxa"/>
            <w:tcBorders>
              <w:top w:val="single" w:color="auto" w:sz="4" w:space="0"/>
              <w:left w:val="nil"/>
              <w:bottom w:val="single" w:color="auto" w:sz="4" w:space="0"/>
              <w:right w:val="single" w:color="auto" w:sz="4" w:space="0"/>
            </w:tcBorders>
            <w:vAlign w:val="center"/>
          </w:tcPr>
          <w:p w14:paraId="6EC843EE">
            <w:r>
              <w:rPr>
                <w:rFonts w:hint="eastAsia"/>
              </w:rPr>
              <w:t>投标人提交签署并盖章《盐城市大丰区政府招标采购供应商承诺书》原件的得1分；没有提供的不得分。</w:t>
            </w:r>
          </w:p>
        </w:tc>
        <w:tc>
          <w:tcPr>
            <w:tcW w:w="977" w:type="dxa"/>
            <w:tcBorders>
              <w:top w:val="single" w:color="auto" w:sz="4" w:space="0"/>
              <w:left w:val="nil"/>
              <w:bottom w:val="single" w:color="auto" w:sz="4" w:space="0"/>
              <w:right w:val="single" w:color="auto" w:sz="4" w:space="0"/>
            </w:tcBorders>
            <w:vAlign w:val="center"/>
          </w:tcPr>
          <w:p w14:paraId="04FB6530">
            <w:r>
              <w:rPr>
                <w:rFonts w:hint="eastAsia"/>
              </w:rPr>
              <w:t>1</w:t>
            </w:r>
          </w:p>
        </w:tc>
      </w:tr>
    </w:tbl>
    <w:p w14:paraId="131A5C37">
      <w:r>
        <w:rPr>
          <w:rFonts w:hint="eastAsia"/>
        </w:rPr>
        <w:t>3.评标程序</w:t>
      </w:r>
    </w:p>
    <w:p w14:paraId="62B8F81E">
      <w:r>
        <w:rPr>
          <w:rFonts w:hint="eastAsia"/>
        </w:rPr>
        <w:t>3.1 评标准备</w:t>
      </w:r>
    </w:p>
    <w:p w14:paraId="795A9210">
      <w:r>
        <w:rPr>
          <w:rFonts w:hint="eastAsia"/>
        </w:rPr>
        <w:t>3.1.1 评标委员会成员到达评标现场时应在签到表上签到（或通过门禁系统签到）以证明其出席。</w:t>
      </w:r>
    </w:p>
    <w:p w14:paraId="125D45A9">
      <w:r>
        <w:rPr>
          <w:rFonts w:hint="eastAsia"/>
        </w:rPr>
        <w:t>3.1.2 评标委员会成员首先推选一名评标委员会负责人，负责评标活动的组织领导工作。</w:t>
      </w:r>
    </w:p>
    <w:p w14:paraId="019FB79E">
      <w:r>
        <w:rPr>
          <w:rFonts w:hint="eastAsia"/>
        </w:rPr>
        <w:t>3.1.3 招标人或招标代理机构应向评标委员会提供评标所需的信息和数据。评标委员会负责人应组织评标委员会成员认真研究招标文件，未在招标文件中规定的标准和方法不得作为评标的依据。</w:t>
      </w:r>
    </w:p>
    <w:p w14:paraId="24938D77">
      <w:r>
        <w:rPr>
          <w:rFonts w:hint="eastAsia"/>
        </w:rPr>
        <w:t>3.2 初步评审</w:t>
      </w:r>
    </w:p>
    <w:p w14:paraId="1E297F28">
      <w:r>
        <w:rPr>
          <w:rFonts w:hint="eastAsia"/>
        </w:rPr>
        <w:t>3.2.1评标委员会依据本章第2.1 款规定的标准对投标文件进行初步评审。</w:t>
      </w:r>
    </w:p>
    <w:p w14:paraId="239CADFF">
      <w:r>
        <w:rPr>
          <w:rFonts w:hint="eastAsia"/>
        </w:rPr>
        <w:t>3.2.2投标文件不符合本章第2.1款评审标准的，属于重大偏差，视为未能对招标文件作出实质性响应，应当作为无效投标予以否决。</w:t>
      </w:r>
    </w:p>
    <w:p w14:paraId="758077FD">
      <w:r>
        <w:rPr>
          <w:rFonts w:hint="eastAsia"/>
        </w:rPr>
        <w:t>3.2.3对照投标人须知6.4款，投标文件有上述情况之一，视为未能对招标文件作出实质性响应，凡招标文件未明确标明无效标条款的，评标委员会不得作为判定无效投标的依据。</w:t>
      </w:r>
    </w:p>
    <w:p w14:paraId="5F059095">
      <w:r>
        <w:rPr>
          <w:rFonts w:hint="eastAsia"/>
        </w:rPr>
        <w:t>3.2.4 投标报价有算术错误的，评标委员会按以下原则对投标报价进行修正，修正的价格经投标人书面确认后具有约束力。</w:t>
      </w:r>
    </w:p>
    <w:p w14:paraId="1026D2A9">
      <w:r>
        <w:rPr>
          <w:rFonts w:hint="eastAsia"/>
        </w:rPr>
        <w:t>(1）投标文件中的大写金额与小写金额不一致的，以大写金额为准；</w:t>
      </w:r>
    </w:p>
    <w:p w14:paraId="0F380C9E">
      <w:r>
        <w:rPr>
          <w:rFonts w:hint="eastAsia"/>
        </w:rPr>
        <w:t>(2）总价金额与依据单价计算出的结果不一致的，以单价金额为准修正总价，但单价金额小数点有明显错误的除外。</w:t>
      </w:r>
    </w:p>
    <w:p w14:paraId="6EB706BD">
      <w:r>
        <w:rPr>
          <w:rFonts w:hint="eastAsia"/>
        </w:rPr>
        <w:t>3.2.5只有通过初步评审的投标文件才能进入详细评审。</w:t>
      </w:r>
    </w:p>
    <w:p w14:paraId="287752A9">
      <w:r>
        <w:rPr>
          <w:rFonts w:hint="eastAsia"/>
        </w:rPr>
        <w:t>3.3 详细评审</w:t>
      </w:r>
    </w:p>
    <w:p w14:paraId="0C20BE7E">
      <w:r>
        <w:rPr>
          <w:rFonts w:hint="eastAsia"/>
        </w:rPr>
        <w:t>3.3.1 在详细评审发现符合“无效标书条款”的，应当作为无效投标予以否决，其投标报价亦不作为评标基准价A值的依据。</w:t>
      </w:r>
    </w:p>
    <w:p w14:paraId="6C78204B">
      <w:r>
        <w:rPr>
          <w:rFonts w:hint="eastAsia"/>
        </w:rPr>
        <w:t>3.3.2 评标委员会按本章第2.2款规定的量化因素和分值进行打分，并计算出综合评估得分。</w:t>
      </w:r>
    </w:p>
    <w:p w14:paraId="3E028826">
      <w:r>
        <w:rPr>
          <w:rFonts w:hint="eastAsia"/>
        </w:rPr>
        <w:t>3.3.3 评分分值计算保留小数点后两位，小数点后第三位“四舍五入”。</w:t>
      </w:r>
    </w:p>
    <w:p w14:paraId="56F2C5D9">
      <w:r>
        <w:rPr>
          <w:rFonts w:hint="eastAsia"/>
        </w:rPr>
        <w:t>3.4 投标文件的澄清和补正</w:t>
      </w:r>
    </w:p>
    <w:p w14:paraId="0D5B7D90">
      <w:r>
        <w:rPr>
          <w:rFonts w:hint="eastAsia"/>
        </w:rPr>
        <w:t>3.4.1 在评标过程中，评标委员会可以书面形式要求投标人对所提交投标文件中不明确的内容进行书面澄清或说明，或者对细微偏差进行补正。评标委员会不接受投标人主动提出的澄清、说明或补正。</w:t>
      </w:r>
    </w:p>
    <w:p w14:paraId="4FAE4F06">
      <w:r>
        <w:rPr>
          <w:rFonts w:hint="eastAsia"/>
        </w:rPr>
        <w:t>3.4.2 澄清、说明和补正不得改变投标文件的实质性内容（算术性错误修正的除外）。投标人的书面澄清、说明和补正属于投标文件的组成部分。</w:t>
      </w:r>
    </w:p>
    <w:p w14:paraId="4753F99D">
      <w:r>
        <w:rPr>
          <w:rFonts w:hint="eastAsia"/>
        </w:rPr>
        <w:t>3.4.3 评标委员会对投标人提交的澄清、说明或补正有疑问的，可以要求投标人进一步澄清、说明或补正。</w:t>
      </w:r>
    </w:p>
    <w:p w14:paraId="7CFAAE9C">
      <w:r>
        <w:rPr>
          <w:rFonts w:hint="eastAsia"/>
        </w:rPr>
        <w:t>3.5 推荐中标候选人或直接确定中标人</w:t>
      </w:r>
    </w:p>
    <w:p w14:paraId="6764F5B0">
      <w:r>
        <w:rPr>
          <w:rFonts w:hint="eastAsia"/>
        </w:rPr>
        <w:t>3.5.1 除投标人须知前附表授权直接确定中标人外，评标委员会在推荐中标候选人时，应遵照以下原则:</w:t>
      </w:r>
    </w:p>
    <w:p w14:paraId="2B7FA2DB">
      <w:r>
        <w:rPr>
          <w:rFonts w:hint="eastAsia"/>
        </w:rPr>
        <w:t>评标委员会按照最终得分由高至低的次序排列，并根据投标人须知前附表规定的中标候选人数量，将排序在前的投标人推荐为中标候选人。</w:t>
      </w:r>
    </w:p>
    <w:p w14:paraId="35E22716">
      <w:r>
        <w:rPr>
          <w:rFonts w:hint="eastAsia"/>
        </w:rPr>
        <w:t xml:space="preserve">3.6 提交评标报告 </w:t>
      </w:r>
    </w:p>
    <w:p w14:paraId="3B1E471D">
      <w:pPr>
        <w:rPr>
          <w:sz w:val="24"/>
        </w:rPr>
      </w:pPr>
      <w:r>
        <w:rPr>
          <w:rFonts w:hint="eastAsia"/>
        </w:rPr>
        <w:t>评标委员会完成评标后，应当向招标人提交书面评标报告。评标报告应当由全体评标委员会成员签字，并于评标结束时抄送有关行政监督部门。</w:t>
      </w:r>
    </w:p>
    <w:p w14:paraId="53DB1FF0"/>
    <w:p w14:paraId="110195E6">
      <w:bookmarkStart w:id="438" w:name="_Toc24587"/>
      <w:bookmarkStart w:id="439" w:name="_Toc26695"/>
      <w:bookmarkStart w:id="440" w:name="_Toc21306"/>
      <w:bookmarkStart w:id="441" w:name="_Toc19404"/>
      <w:bookmarkStart w:id="442" w:name="_Toc30488"/>
      <w:r>
        <w:rPr>
          <w:rFonts w:hint="eastAsia"/>
        </w:rPr>
        <w:br w:type="page"/>
      </w:r>
    </w:p>
    <w:p w14:paraId="6B3DB917">
      <w:pPr>
        <w:pStyle w:val="45"/>
        <w:ind w:firstLine="643"/>
      </w:pPr>
      <w:r>
        <w:rPr>
          <w:rFonts w:hint="eastAsia"/>
        </w:rPr>
        <w:t>通用评标规则</w:t>
      </w:r>
      <w:bookmarkEnd w:id="438"/>
      <w:bookmarkEnd w:id="439"/>
      <w:bookmarkEnd w:id="440"/>
      <w:bookmarkEnd w:id="441"/>
      <w:bookmarkEnd w:id="442"/>
    </w:p>
    <w:p w14:paraId="410B4A77">
      <w:r>
        <w:rPr>
          <w:rFonts w:hint="eastAsia"/>
        </w:rPr>
        <w:t>为进一步规范本次招标项目的评标、定标工作，制定本规则。</w:t>
      </w:r>
    </w:p>
    <w:p w14:paraId="4F11F14F">
      <w:r>
        <w:rPr>
          <w:rFonts w:hint="eastAsia"/>
        </w:rPr>
        <w:t>一、评标程序：</w:t>
      </w:r>
    </w:p>
    <w:p w14:paraId="55CC3929">
      <w:r>
        <w:rPr>
          <w:rFonts w:hint="eastAsia"/>
        </w:rPr>
        <w:t>资信标、商务标、技术标应分别评审，评审后不得更改。</w:t>
      </w:r>
    </w:p>
    <w:p w14:paraId="3D5D45DC">
      <w:r>
        <w:rPr>
          <w:rFonts w:hint="eastAsia"/>
        </w:rPr>
        <w:t>二、不规范标书：评标审查中有发现投标书或投标人行为属不规范者，评标办法采用综合评分法的，经评标委员会认定后减0.3—2分。</w:t>
      </w:r>
    </w:p>
    <w:p w14:paraId="5B73F59E">
      <w:r>
        <w:rPr>
          <w:rFonts w:hint="eastAsia"/>
        </w:rPr>
        <w:t>三、计价文件评审规定：评标委员会认为投标人的投标报价有可能低于其个别成本时，应当要求投标人以书面方式作出澄清，并提供相关证明材料后再进行认定。</w:t>
      </w:r>
    </w:p>
    <w:p w14:paraId="2F4DC368">
      <w:r>
        <w:rPr>
          <w:rFonts w:hint="eastAsia"/>
        </w:rPr>
        <w:t>四、打分：评委应记名打分，打分未记名的和未按招标文件规定的打分办法打分的，一律按无效票处理。技术类评委打分在所有成员中去掉一个最高评分和一个最低评分后的算术平均值作为投标人该项（不论大项、小项）得分。每大项记分保留三位小数(第四位四舍五入)；总得分保留二位小数(第三位四舍五入)。</w:t>
      </w:r>
    </w:p>
    <w:p w14:paraId="68D933E2">
      <w:r>
        <w:rPr>
          <w:rFonts w:hint="eastAsia"/>
        </w:rPr>
        <w:t>五、</w:t>
      </w:r>
      <w:r>
        <w:t>得分并列：投标人得分并列的，须明确中标候选人或需对中标候选人排序的，比较</w:t>
      </w:r>
      <w:r>
        <w:rPr>
          <w:rFonts w:hint="eastAsia"/>
        </w:rPr>
        <w:t>至</w:t>
      </w:r>
      <w:r>
        <w:t xml:space="preserve">小数点后第三位值大小，得分高的排名靠前，若第三位仍相同的，由评标委员会按投标报价由低到高进行排序；如投标报价仍相同的，由招标人确定排序。 </w:t>
      </w:r>
    </w:p>
    <w:p w14:paraId="4765F614">
      <w:r>
        <w:rPr>
          <w:rFonts w:hint="eastAsia"/>
        </w:rPr>
        <w:t>六、投标文件中有评标委员会认为需要投标人作出必要澄清、说明的，投标人在接到通知后应当在规定的时间前赶到指定地点接受质询。逾期未赶到的，作自动放弃处理。投标人的澄清、说明应当采用书面形式，并不得超出投标文件的范围或者改变投标文件的实质性内容。评标委员会不得暗示或者诱导投标人作出澄清、说明，不得接受投标人主动提出的澄清、说明。</w:t>
      </w:r>
    </w:p>
    <w:p w14:paraId="10BE2922">
      <w:r>
        <w:rPr>
          <w:rFonts w:hint="eastAsia"/>
        </w:rPr>
        <w:t>七、争议处理： 评标中发生重大情况或重大争议，需要进一步调查了解、协调处理的，现场监督人员</w:t>
      </w:r>
      <w:r>
        <w:rPr>
          <w:rFonts w:hint="eastAsia"/>
          <w:b/>
        </w:rPr>
        <w:t>报监管机构</w:t>
      </w:r>
      <w:r>
        <w:rPr>
          <w:rFonts w:hint="eastAsia"/>
        </w:rPr>
        <w:t>同意后可暂时休会，待有关问题得到澄清后再行复会。休会期间，所有招投标资料一律封存</w:t>
      </w:r>
      <w:r>
        <w:rPr>
          <w:rFonts w:hint="eastAsia"/>
          <w:b/>
          <w:bCs/>
        </w:rPr>
        <w:t>在评标区</w:t>
      </w:r>
      <w:r>
        <w:rPr>
          <w:rFonts w:hint="eastAsia"/>
        </w:rPr>
        <w:t>，所有与会人员一律不得泄露评标情况。</w:t>
      </w:r>
    </w:p>
    <w:p w14:paraId="3096805C">
      <w:r>
        <w:rPr>
          <w:rFonts w:hint="eastAsia"/>
        </w:rPr>
        <w:t>八、违法违纪行为：在招投标过程中发生行贿受贿、扰乱招投标活动秩序及其他严重违法违纪行为的，一律取消有关责任人参与招投标活动的资格；已有评审结果的，应宣布评审结果无效。</w:t>
      </w:r>
    </w:p>
    <w:p w14:paraId="01FEFC27">
      <w:r>
        <w:rPr>
          <w:rFonts w:hint="eastAsia"/>
        </w:rPr>
        <w:t>九、其它：在评审过程中，一旦发现招标文件中发现以下现象的，经评标委员会认定，删除该项评审或记分。（1）招标文件内容中某项条款，有明显倾向或歧视的；（2）招标文件内容中某项条款有多种解释的。</w:t>
      </w:r>
    </w:p>
    <w:p w14:paraId="1927CE0F">
      <w:pPr>
        <w:pStyle w:val="4"/>
        <w:ind w:firstLine="482"/>
      </w:pPr>
      <w:r>
        <w:rPr>
          <w:kern w:val="0"/>
          <w:sz w:val="24"/>
          <w:szCs w:val="24"/>
        </w:rPr>
        <w:br w:type="page"/>
      </w:r>
      <w:bookmarkStart w:id="443" w:name="_Toc21127"/>
      <w:r>
        <w:rPr>
          <w:rFonts w:hint="eastAsia"/>
        </w:rPr>
        <w:t>第四章  合同条款及格式</w:t>
      </w:r>
      <w:bookmarkEnd w:id="437"/>
      <w:bookmarkEnd w:id="443"/>
      <w:bookmarkStart w:id="444" w:name="_Toc508216954"/>
      <w:bookmarkStart w:id="445" w:name="_Toc7525"/>
      <w:bookmarkStart w:id="446" w:name="_Toc397928630"/>
    </w:p>
    <w:p w14:paraId="16F970C5">
      <w:bookmarkStart w:id="447" w:name="_Toc8254"/>
      <w:r>
        <w:t>一、合同文件</w:t>
      </w:r>
    </w:p>
    <w:p w14:paraId="25C29D0C">
      <w:r>
        <w:t>1. 合同文件适用法律</w:t>
      </w:r>
    </w:p>
    <w:p w14:paraId="577F2D04">
      <w:r>
        <w:t>适用于合同文件的法律是中华人民共和国现行法律、法规及甲方所在地的地方性法规。</w:t>
      </w:r>
    </w:p>
    <w:p w14:paraId="3FC96E8C">
      <w:r>
        <w:t>2. 合同文件组成和解释顺序</w:t>
      </w:r>
    </w:p>
    <w:p w14:paraId="07D9EEE3">
      <w:r>
        <w:t>2.1合同文件的组成和解释顺序如下：</w:t>
      </w:r>
    </w:p>
    <w:p w14:paraId="488E9A18">
      <w:r>
        <w:t>2.1.1合同的特殊性条款</w:t>
      </w:r>
    </w:p>
    <w:p w14:paraId="2BF2B230">
      <w:r>
        <w:t>2.1.2合同的一般性条款</w:t>
      </w:r>
    </w:p>
    <w:p w14:paraId="10603267">
      <w:r>
        <w:t xml:space="preserve">2.1.3 </w:t>
      </w:r>
      <w:r>
        <w:rPr>
          <w:rFonts w:hint="eastAsia"/>
        </w:rPr>
        <w:t>双方</w:t>
      </w:r>
      <w:r>
        <w:t>洽商、变更等明确双方权利义务的纪要、协议</w:t>
      </w:r>
    </w:p>
    <w:p w14:paraId="210BE3FC">
      <w:r>
        <w:t>2.1.4 中标通知书、投标</w:t>
      </w:r>
      <w:r>
        <w:rPr>
          <w:rFonts w:hint="eastAsia"/>
        </w:rPr>
        <w:t>文件</w:t>
      </w:r>
      <w:r>
        <w:t>和招标文件</w:t>
      </w:r>
    </w:p>
    <w:p w14:paraId="09C4DE5A">
      <w:r>
        <w:t>2.2 合同的特殊性条款的效力优于合同的一般性条款的效力</w:t>
      </w:r>
    </w:p>
    <w:p w14:paraId="5BCD44A9">
      <w:r>
        <w:t>3. 合同文件使用文字</w:t>
      </w:r>
    </w:p>
    <w:p w14:paraId="3E266663">
      <w:r>
        <w:t>3.1 合同文件使用中文书写、解释和说明</w:t>
      </w:r>
    </w:p>
    <w:p w14:paraId="2BAFACCF">
      <w:r>
        <w:t>3.2 合同文件使用特殊性条款约定的国家标准和规范；国家没有相应标准、规范时，可使用特殊性条款约定的行业或甲方所在地地方的标准、规范。</w:t>
      </w:r>
    </w:p>
    <w:p w14:paraId="04F74A75">
      <w:r>
        <w:t>二、标的物的一般条款</w:t>
      </w:r>
    </w:p>
    <w:p w14:paraId="178004D4">
      <w:r>
        <w:t>4.  完整物权</w:t>
      </w:r>
    </w:p>
    <w:p w14:paraId="0CD244BC">
      <w:r>
        <w:t>对于出卖的标的物，乙方应当拥有完整物权，并且乙方负有保证第三人不得向甲方主张任何权利（包括知识产权）的义务。</w:t>
      </w:r>
    </w:p>
    <w:p w14:paraId="611DEC27">
      <w:r>
        <w:t>5.  质量保证</w:t>
      </w:r>
    </w:p>
    <w:p w14:paraId="0CB0F255">
      <w:r>
        <w:t>5.1  乙方应保证所供标的物是全新的，未使用过的，并且是非长期积压的库存商品，完全符合合同规定的质量、规格和性能的要求，乙方应保证其提供的标的物在正确安装，正常使用和保养条件下，在其标称的使用寿命期内应具有满意的性能。在乙方承诺的质量保证期限内，乙方应对由于设计、工艺等缺陷及伴随服务而造成的任何不足或故障负责。</w:t>
      </w:r>
    </w:p>
    <w:p w14:paraId="0AC25732">
      <w:r>
        <w:t>5.2  根据甲方按检验标准自己检验的结果或当地技监部门的检验结果，或者在质量保证期内，如果标的物的数量、质量或规格与合同不符或证实标的物是有缺陷的，包括潜在缺陷或使用不符合要求的材料等，甲方应尽快以书面形式通知乙方并提出索赔。</w:t>
      </w:r>
    </w:p>
    <w:p w14:paraId="6EA6F468">
      <w:r>
        <w:t>5.3  除合同特殊条款规定外，合同条款中标的物的免费服务期均自标的物通过最终验收之日起计算。</w:t>
      </w:r>
      <w:r>
        <w:rPr>
          <w:rFonts w:hint="eastAsia"/>
        </w:rPr>
        <w:t>具体以招标文件中规定的质量保证期为准或中标单位承诺更高于招标要求的质量保证期为准。</w:t>
      </w:r>
    </w:p>
    <w:p w14:paraId="387F85E9">
      <w:r>
        <w:rPr>
          <w:rFonts w:hint="eastAsia"/>
        </w:rPr>
        <w:t>6</w:t>
      </w:r>
      <w:r>
        <w:t>. 包装</w:t>
      </w:r>
    </w:p>
    <w:p w14:paraId="6F02A164">
      <w:r>
        <w:rPr>
          <w:rFonts w:hint="eastAsia"/>
        </w:rPr>
        <w:t>乙方应当按照约定的包装方式交付标的物。对包装方式没有约定或者约定不明确的，应当按照双方补充协议约定的方式包装，或者按照通用的方式包装，没有通用方式的，应当采取足以保护标的物的包装方式。</w:t>
      </w:r>
    </w:p>
    <w:p w14:paraId="3B349C4C">
      <w:r>
        <w:rPr>
          <w:rFonts w:hint="eastAsia"/>
        </w:rPr>
        <w:t>7</w:t>
      </w:r>
      <w:r>
        <w:t>.  伴随服务</w:t>
      </w:r>
    </w:p>
    <w:p w14:paraId="6E0DF713">
      <w:r>
        <w:rPr>
          <w:rFonts w:hint="eastAsia"/>
        </w:rPr>
        <w:t>7</w:t>
      </w:r>
      <w:r>
        <w:t>.1  乙方除应履行按期按量交付合格标的物的义务之外，还应提供下列服务。</w:t>
      </w:r>
    </w:p>
    <w:p w14:paraId="2BA00172">
      <w:r>
        <w:rPr>
          <w:rFonts w:hint="eastAsia"/>
        </w:rPr>
        <w:t>7</w:t>
      </w:r>
      <w:r>
        <w:t>.1.1 标的物的现场安装、启动、调试、监督；</w:t>
      </w:r>
    </w:p>
    <w:p w14:paraId="76DB996F">
      <w:r>
        <w:rPr>
          <w:rFonts w:hint="eastAsia"/>
        </w:rPr>
        <w:t>7</w:t>
      </w:r>
      <w:r>
        <w:t>.1.2 在合同规定的期限内对所提供标的物实行运行监督、维修服务的前提条件是该服务并不能免除乙方在质量保证期内所承担的义务；</w:t>
      </w:r>
    </w:p>
    <w:p w14:paraId="2784E000">
      <w:r>
        <w:rPr>
          <w:rFonts w:hint="eastAsia"/>
        </w:rPr>
        <w:t>7</w:t>
      </w:r>
      <w:r>
        <w:t>.1.3 对甲方技术人员的技术指导或培训。</w:t>
      </w:r>
    </w:p>
    <w:p w14:paraId="2341F033">
      <w:r>
        <w:rPr>
          <w:rFonts w:hint="eastAsia"/>
        </w:rPr>
        <w:t>7</w:t>
      </w:r>
      <w:r>
        <w:t>.2  除合同另有规定之外，伴随服务的费用均已含在合同价款中，甲方不再另行进行支付。</w:t>
      </w:r>
    </w:p>
    <w:p w14:paraId="569E446D">
      <w:r>
        <w:t>三、标的物的交付、检验和验收</w:t>
      </w:r>
    </w:p>
    <w:p w14:paraId="4D195576">
      <w:r>
        <w:rPr>
          <w:rFonts w:hint="eastAsia"/>
        </w:rPr>
        <w:t>8</w:t>
      </w:r>
      <w:r>
        <w:t>.  标的物的交付</w:t>
      </w:r>
    </w:p>
    <w:p w14:paraId="14F9AC10">
      <w:r>
        <w:rPr>
          <w:rFonts w:hint="eastAsia"/>
        </w:rPr>
        <w:t>8</w:t>
      </w:r>
      <w:r>
        <w:t>.1  标的物的所有权自标的物交付时转移。</w:t>
      </w:r>
    </w:p>
    <w:p w14:paraId="2DD46725">
      <w:r>
        <w:rPr>
          <w:rFonts w:hint="eastAsia"/>
        </w:rPr>
        <w:t>8</w:t>
      </w:r>
      <w:r>
        <w:t>.2  乙方应当按照约定的期限和</w:t>
      </w:r>
      <w:r>
        <w:rPr>
          <w:rFonts w:hint="eastAsia"/>
        </w:rPr>
        <w:t>甲方指定</w:t>
      </w:r>
      <w:r>
        <w:t>的地点交付标的物。</w:t>
      </w:r>
    </w:p>
    <w:p w14:paraId="24706B24">
      <w:r>
        <w:rPr>
          <w:rFonts w:hint="eastAsia"/>
        </w:rPr>
        <w:t>8</w:t>
      </w:r>
      <w:r>
        <w:t>.3  乙方应当按照约定或者交易习惯向甲方交付提取标的物单证以外的有关单证和资料。</w:t>
      </w:r>
    </w:p>
    <w:p w14:paraId="771A6FF6">
      <w:r>
        <w:rPr>
          <w:rFonts w:hint="eastAsia"/>
        </w:rPr>
        <w:t>9</w:t>
      </w:r>
      <w:r>
        <w:t>.  检验和验收</w:t>
      </w:r>
    </w:p>
    <w:p w14:paraId="4ABE1EA4">
      <w:r>
        <w:rPr>
          <w:rFonts w:hint="eastAsia"/>
        </w:rPr>
        <w:t>9</w:t>
      </w:r>
      <w:r>
        <w:t>.1  在交货前，乙方应对标的物的质量、规格、性能、数量等进行详细而全面的检验，并出具一份合格检验证明，合格检验证明作为甲方验收的依据，但不能作为有关标的物质量、规格、数量或性能的最终检验结果。</w:t>
      </w:r>
    </w:p>
    <w:p w14:paraId="2E9D7FD5">
      <w:r>
        <w:rPr>
          <w:rFonts w:hint="eastAsia"/>
        </w:rPr>
        <w:t>9</w:t>
      </w:r>
      <w:r>
        <w:t>.2  甲方根据合同规定的内容和验收标准进行验收，同时比较乙方出具的检验证明，经检验无误后出具验收合格证明，该证明作为最终付款所需文件的组成部分。</w:t>
      </w:r>
    </w:p>
    <w:p w14:paraId="7469AB17">
      <w:r>
        <w:rPr>
          <w:rFonts w:hint="eastAsia"/>
        </w:rPr>
        <w:t>9</w:t>
      </w:r>
      <w:r>
        <w:t>.3  验收期限自标的物交付之日起</w:t>
      </w:r>
      <w:r>
        <w:rPr>
          <w:rFonts w:hint="eastAsia"/>
        </w:rPr>
        <w:t>十个工作日</w:t>
      </w:r>
      <w:r>
        <w:t>内。特殊情况需延长的，双方应在合同的特殊条款中约定。</w:t>
      </w:r>
    </w:p>
    <w:p w14:paraId="653BC0FB">
      <w:r>
        <w:rPr>
          <w:rFonts w:hint="eastAsia"/>
        </w:rPr>
        <w:t>9</w:t>
      </w:r>
      <w:r>
        <w:t>.4  如双方对验收结果有分歧，则以</w:t>
      </w:r>
      <w:r>
        <w:rPr>
          <w:rFonts w:hint="eastAsia"/>
        </w:rPr>
        <w:t>大丰</w:t>
      </w:r>
      <w:r>
        <w:t>区技术质量监督局或以约定的法定检测机构的检验结果为准，检验费用由有过失的一方支付。</w:t>
      </w:r>
    </w:p>
    <w:p w14:paraId="63CE5289">
      <w:r>
        <w:t>四、对标的物提出异议的时间和办法</w:t>
      </w:r>
    </w:p>
    <w:p w14:paraId="70627738">
      <w:r>
        <w:rPr>
          <w:rFonts w:hint="eastAsia"/>
        </w:rPr>
        <w:t>10</w:t>
      </w:r>
      <w:r>
        <w:t>.  对标的物提出异议的时间和办法</w:t>
      </w:r>
    </w:p>
    <w:p w14:paraId="63E123B2">
      <w:r>
        <w:rPr>
          <w:rFonts w:hint="eastAsia"/>
        </w:rPr>
        <w:t>10</w:t>
      </w:r>
      <w:r>
        <w:t>.1  甲方在验收过程中，应当于双方约定的检验期间内将标的物的数量或质量不符合约定的情形及处理方式以书面形式通知乙方。</w:t>
      </w:r>
    </w:p>
    <w:p w14:paraId="2D0BAD48">
      <w:r>
        <w:rPr>
          <w:rFonts w:hint="eastAsia"/>
        </w:rPr>
        <w:t>10</w:t>
      </w:r>
      <w:r>
        <w:t>.2  如甲方在验收期满后既不出具验收合格证明又未提出书面异议的</w:t>
      </w:r>
      <w:r>
        <w:rPr>
          <w:rFonts w:hint="eastAsia"/>
        </w:rPr>
        <w:t>，并不</w:t>
      </w:r>
      <w:r>
        <w:t>视为乙方所交标的物符合合同规定</w:t>
      </w:r>
      <w:r>
        <w:rPr>
          <w:rFonts w:hint="eastAsia"/>
        </w:rPr>
        <w:t>，乙方应书面催告甲方进行验收</w:t>
      </w:r>
      <w:r>
        <w:t>。</w:t>
      </w:r>
    </w:p>
    <w:p w14:paraId="1575FD93">
      <w:r>
        <w:rPr>
          <w:rFonts w:hint="eastAsia"/>
        </w:rPr>
        <w:t>10</w:t>
      </w:r>
      <w:r>
        <w:t>.3  乙方应在收到甲方书面异议后七天内负责处理问题，否则将视为默认甲方提出的异议和处理意见。</w:t>
      </w:r>
    </w:p>
    <w:p w14:paraId="0BFF0FE4">
      <w:r>
        <w:t>五、合同价款和支付</w:t>
      </w:r>
    </w:p>
    <w:p w14:paraId="6CA3C665">
      <w:r>
        <w:t>1</w:t>
      </w:r>
      <w:r>
        <w:rPr>
          <w:rFonts w:hint="eastAsia"/>
        </w:rPr>
        <w:t>1</w:t>
      </w:r>
      <w:r>
        <w:t>.  合同价款和支付</w:t>
      </w:r>
    </w:p>
    <w:p w14:paraId="41293F12">
      <w:r>
        <w:t>1</w:t>
      </w:r>
      <w:r>
        <w:rPr>
          <w:rFonts w:hint="eastAsia"/>
        </w:rPr>
        <w:t>1</w:t>
      </w:r>
      <w:r>
        <w:t>.1 本合同的结算货币为人民币，单位元。</w:t>
      </w:r>
    </w:p>
    <w:p w14:paraId="4EED1BD1">
      <w:r>
        <w:t>1</w:t>
      </w:r>
      <w:r>
        <w:rPr>
          <w:rFonts w:hint="eastAsia"/>
        </w:rPr>
        <w:t>1</w:t>
      </w:r>
      <w:r>
        <w:t>.2 乙方应按照双方签订的合同规定交货并在合同特殊条款规定的期限内持下列单据结算货款。</w:t>
      </w:r>
    </w:p>
    <w:p w14:paraId="423470FC">
      <w:r>
        <w:t>1</w:t>
      </w:r>
      <w:r>
        <w:rPr>
          <w:rFonts w:hint="eastAsia"/>
        </w:rPr>
        <w:t>1</w:t>
      </w:r>
      <w:r>
        <w:t>.2.1 合格的销售发票；</w:t>
      </w:r>
    </w:p>
    <w:p w14:paraId="4860D7EB">
      <w:r>
        <w:t>1</w:t>
      </w:r>
      <w:r>
        <w:rPr>
          <w:rFonts w:hint="eastAsia"/>
        </w:rPr>
        <w:t>1</w:t>
      </w:r>
      <w:r>
        <w:t>.2.2 甲方盖章签收后的送货回单和验收合格证明。</w:t>
      </w:r>
    </w:p>
    <w:p w14:paraId="320203F0">
      <w:r>
        <w:t>1</w:t>
      </w:r>
      <w:r>
        <w:rPr>
          <w:rFonts w:hint="eastAsia"/>
        </w:rPr>
        <w:t>1</w:t>
      </w:r>
      <w:r>
        <w:t>.3 甲方应按合同特殊条款规定的期限和方式付款。</w:t>
      </w:r>
    </w:p>
    <w:p w14:paraId="6AB59F19">
      <w:r>
        <w:t>1</w:t>
      </w:r>
      <w:r>
        <w:rPr>
          <w:rFonts w:hint="eastAsia"/>
        </w:rPr>
        <w:t>1</w:t>
      </w:r>
      <w:r>
        <w:t>.4 根据现行税法对甲方征收的与本合同有关的一切税费均由甲方承担；根据现行税法对乙方征收的与本合同有关的一切税费均由乙方承担。</w:t>
      </w:r>
    </w:p>
    <w:p w14:paraId="68E94878">
      <w:r>
        <w:t>六、违约责任</w:t>
      </w:r>
    </w:p>
    <w:p w14:paraId="24C32588">
      <w:r>
        <w:t>1</w:t>
      </w:r>
      <w:r>
        <w:rPr>
          <w:rFonts w:hint="eastAsia"/>
        </w:rPr>
        <w:t>2</w:t>
      </w:r>
      <w:r>
        <w:t>.  违约责任</w:t>
      </w:r>
    </w:p>
    <w:p w14:paraId="764FA7B9">
      <w:r>
        <w:t>合同一方不履行合同义务或者履行合同义务不符合约定的，应当承担继续履行、采取补救措施或者赔偿损失等违约责任。</w:t>
      </w:r>
    </w:p>
    <w:p w14:paraId="29799DDE">
      <w:r>
        <w:t>1</w:t>
      </w:r>
      <w:r>
        <w:rPr>
          <w:rFonts w:hint="eastAsia"/>
        </w:rPr>
        <w:t>3</w:t>
      </w:r>
      <w:r>
        <w:t>.  甲方违约责任</w:t>
      </w:r>
    </w:p>
    <w:p w14:paraId="2A94EC8B">
      <w:r>
        <w:t>1</w:t>
      </w:r>
      <w:r>
        <w:rPr>
          <w:rFonts w:hint="eastAsia"/>
        </w:rPr>
        <w:t>3</w:t>
      </w:r>
      <w:r>
        <w:t>.1  在合同生效后，甲方要求退货的，应向乙方偿付合同总价款</w:t>
      </w:r>
      <w:r>
        <w:rPr>
          <w:rFonts w:hint="eastAsia"/>
        </w:rPr>
        <w:t>5</w:t>
      </w:r>
      <w:r>
        <w:t xml:space="preserve"> %的违约金</w:t>
      </w:r>
      <w:r>
        <w:rPr>
          <w:rFonts w:hint="eastAsia"/>
        </w:rPr>
        <w:t>，</w:t>
      </w:r>
      <w:r>
        <w:t>违约金不足以补偿损失的</w:t>
      </w:r>
      <w:r>
        <w:rPr>
          <w:rFonts w:hint="eastAsia"/>
        </w:rPr>
        <w:t>，乙方</w:t>
      </w:r>
      <w:r>
        <w:t>有权要求甲方补足。</w:t>
      </w:r>
    </w:p>
    <w:p w14:paraId="030CD205">
      <w:r>
        <w:t>1</w:t>
      </w:r>
      <w:r>
        <w:rPr>
          <w:rFonts w:hint="eastAsia"/>
        </w:rPr>
        <w:t>3</w:t>
      </w:r>
      <w:r>
        <w:t>.2  甲方逾期付款的应按照逾期付款金额的每天万分之四支付逾期付款违约金。</w:t>
      </w:r>
    </w:p>
    <w:p w14:paraId="170D6272">
      <w:r>
        <w:t>1</w:t>
      </w:r>
      <w:r>
        <w:rPr>
          <w:rFonts w:hint="eastAsia"/>
        </w:rPr>
        <w:t>3</w:t>
      </w:r>
      <w:r>
        <w:t>.3  甲方违反合同规定，拒绝接收乙方交付的合格标的物，应当承担乙方由此造成的损失。</w:t>
      </w:r>
    </w:p>
    <w:p w14:paraId="174264B3">
      <w:r>
        <w:t>1</w:t>
      </w:r>
      <w:r>
        <w:rPr>
          <w:rFonts w:hint="eastAsia"/>
        </w:rPr>
        <w:t>4</w:t>
      </w:r>
      <w:r>
        <w:t>.  乙方违约责任</w:t>
      </w:r>
    </w:p>
    <w:p w14:paraId="2041B83F">
      <w:r>
        <w:t>1</w:t>
      </w:r>
      <w:r>
        <w:rPr>
          <w:rFonts w:hint="eastAsia"/>
        </w:rPr>
        <w:t>4</w:t>
      </w:r>
      <w:r>
        <w:t>.1  乙方不能交货（逾期超过十天视为不能交货），或交货不合格从而影响甲方按期正常使用的，甲方有权解除合同，乙方向甲方偿付合同总价款</w:t>
      </w:r>
      <w:r>
        <w:rPr>
          <w:rFonts w:hint="eastAsia"/>
        </w:rPr>
        <w:t>5</w:t>
      </w:r>
      <w:r>
        <w:t xml:space="preserve"> %的违约金，违约金不足以补偿损失的甲方有权要求乙方补足。</w:t>
      </w:r>
    </w:p>
    <w:p w14:paraId="627534EA">
      <w:r>
        <w:t>1</w:t>
      </w:r>
      <w:r>
        <w:rPr>
          <w:rFonts w:hint="eastAsia"/>
        </w:rPr>
        <w:t>4</w:t>
      </w:r>
      <w:r>
        <w:t>.2  乙方逾期交货的，应在发货前与甲方协商，甲方仍需求的，乙方应立即发货并应按照逾期交货部分货款的每天万分之四支付逾期交货违约金，同时承担甲方因此遭致的损失费用。</w:t>
      </w:r>
    </w:p>
    <w:p w14:paraId="20697034">
      <w:r>
        <w:t>1</w:t>
      </w:r>
      <w:r>
        <w:rPr>
          <w:rFonts w:hint="eastAsia"/>
        </w:rPr>
        <w:t>5</w:t>
      </w:r>
      <w:r>
        <w:t>.  不可抗力</w:t>
      </w:r>
    </w:p>
    <w:p w14:paraId="5A962175">
      <w:r>
        <w:t>1</w:t>
      </w:r>
      <w:r>
        <w:rPr>
          <w:rFonts w:hint="eastAsia"/>
        </w:rPr>
        <w:t>5</w:t>
      </w:r>
      <w:r>
        <w:t>.1  因不可抗力不能履行合同的，根据不可抗力的影响，部分或者全部免除责任。但合同一方迟延履行后发生不可抗力的，不能免除责任。</w:t>
      </w:r>
    </w:p>
    <w:p w14:paraId="5387DBD9">
      <w:r>
        <w:t>1</w:t>
      </w:r>
      <w:r>
        <w:rPr>
          <w:rFonts w:hint="eastAsia"/>
        </w:rPr>
        <w:t>5</w:t>
      </w:r>
      <w:r>
        <w:t>.2  合同一方因不可抗力不能履行合同的，应当及时通知对方，以减轻可能给对方造成的损失，并应当在合理期限内提供证明。</w:t>
      </w:r>
    </w:p>
    <w:p w14:paraId="4965DACB">
      <w:r>
        <w:t>七、索赔</w:t>
      </w:r>
    </w:p>
    <w:p w14:paraId="72AD9152">
      <w:r>
        <w:t>1</w:t>
      </w:r>
      <w:r>
        <w:rPr>
          <w:rFonts w:hint="eastAsia"/>
        </w:rPr>
        <w:t xml:space="preserve">6  </w:t>
      </w:r>
      <w:r>
        <w:t>索赔：</w:t>
      </w:r>
    </w:p>
    <w:p w14:paraId="63A2E77F">
      <w:r>
        <w:t>1</w:t>
      </w:r>
      <w:r>
        <w:rPr>
          <w:rFonts w:hint="eastAsia"/>
        </w:rPr>
        <w:t>6</w:t>
      </w:r>
      <w:r>
        <w:t>.1如在货物交付、使用过程中，甲方发现货物的品质与合同内容有不符或者根据甲方按国家标准或行业标准自己检验的结果或当地技监部门的检验结果，或者在质量保证期限内，货物内容、质量</w:t>
      </w:r>
      <w:r>
        <w:rPr>
          <w:rFonts w:hint="eastAsia"/>
        </w:rPr>
        <w:t>、</w:t>
      </w:r>
      <w:r>
        <w:t>规格与合同不符或证实货物是有缺陷的，包括潜在缺陷等时，有权向乙方提出索赔，乙方在收到甲方索赔通知后2-5天内应免费维修或弥补相应的缺陷。如果乙方在收到通知后5天内没有弥补缺陷，甲方可采取必要的补救措施，但风险和费用将由乙方承担，同时甲方对乙方行使的其它权利不受影响。</w:t>
      </w:r>
      <w:r>
        <w:rPr>
          <w:rFonts w:hint="eastAsia"/>
        </w:rPr>
        <w:t>甲方因补救措施所承担的应由乙方承担的费用，有权在甲方应支付给乙方的款项中直接扣除。</w:t>
      </w:r>
    </w:p>
    <w:p w14:paraId="5D4FFC1C">
      <w:r>
        <w:t>1</w:t>
      </w:r>
      <w:r>
        <w:rPr>
          <w:rFonts w:hint="eastAsia"/>
        </w:rPr>
        <w:t>6</w:t>
      </w:r>
      <w:r>
        <w:t>.2索赔方式除上述规定之外，甲方还有权选择以下方式进行索赔：</w:t>
      </w:r>
    </w:p>
    <w:p w14:paraId="29F2FCBA">
      <w:r>
        <w:t>（1）乙方同意退货，并双倍返还定金及甲方已支付的合同款，并承担由此发生的一切损失和费用，包括甲方直接损失、利息、银行手续费、运费、保险费、仓储费、装卸费以及为保护退回货物所需的其它必要费用。</w:t>
      </w:r>
    </w:p>
    <w:p w14:paraId="723471A7">
      <w:r>
        <w:t>（2）根据标的物的损坏程度以及甲方遭受损失的数额，经甲乙双方商定降低货物的价格。</w:t>
      </w:r>
    </w:p>
    <w:p w14:paraId="1DB16AFC">
      <w:r>
        <w:t>（3）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62807DA0">
      <w:r>
        <w:t>（4）从尚未支付的合同价款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68313AEB">
      <w:r>
        <w:t>八、</w:t>
      </w:r>
      <w:r>
        <w:rPr>
          <w:rFonts w:hint="eastAsia"/>
        </w:rPr>
        <w:t>履约保证金</w:t>
      </w:r>
    </w:p>
    <w:p w14:paraId="46E8D0A9">
      <w:r>
        <w:rPr>
          <w:rFonts w:hint="eastAsia"/>
        </w:rPr>
        <w:t>17.  履约保证金</w:t>
      </w:r>
    </w:p>
    <w:p w14:paraId="1E67FB96">
      <w:r>
        <w:rPr>
          <w:rFonts w:hint="eastAsia"/>
        </w:rPr>
        <w:t>17.1 乙方应在本合同签订时，按采购文件的约定提供相应的履约保证金。</w:t>
      </w:r>
    </w:p>
    <w:p w14:paraId="068B6C41">
      <w:r>
        <w:rPr>
          <w:rFonts w:hint="eastAsia"/>
        </w:rPr>
        <w:t>17.2 如果乙方未能履行合同规定的任何义务，甲方有权从履约保证金中取得补偿。</w:t>
      </w:r>
    </w:p>
    <w:p w14:paraId="462B61AA">
      <w:r>
        <w:rPr>
          <w:rFonts w:hint="eastAsia"/>
        </w:rPr>
        <w:t>17.3 履约保证金（无息）将在乙方履行完合同义务后退回。</w:t>
      </w:r>
    </w:p>
    <w:p w14:paraId="081A2187">
      <w:r>
        <w:rPr>
          <w:rFonts w:hint="eastAsia"/>
        </w:rPr>
        <w:t>九、</w:t>
      </w:r>
      <w:r>
        <w:t>合同的解除和转让</w:t>
      </w:r>
    </w:p>
    <w:p w14:paraId="40F52F1A">
      <w:r>
        <w:t>18.  合同的解除</w:t>
      </w:r>
    </w:p>
    <w:p w14:paraId="5199840F">
      <w:r>
        <w:t>18.1有下列情形之一，合同一方可以解除合同：</w:t>
      </w:r>
    </w:p>
    <w:p w14:paraId="294BEA12">
      <w:r>
        <w:t>18.1.1 因不可抗力致使不能实现合同目的，未受不可抗力影响的一方有权解除合同；</w:t>
      </w:r>
    </w:p>
    <w:p w14:paraId="1B4BF002">
      <w:r>
        <w:t>18.1.2 因合同一方违约导致合同不能履行，另一方有权解除合同；</w:t>
      </w:r>
    </w:p>
    <w:p w14:paraId="7F8318D8">
      <w:r>
        <w:t>18.2 有权解除合同的一方，应当在违约事实或不可抗力发生之后三十天内书面通知对方以主张解除合同，合同在书面通知到达对方时解除。</w:t>
      </w:r>
    </w:p>
    <w:p w14:paraId="492DB948">
      <w:r>
        <w:t>1</w:t>
      </w:r>
      <w:r>
        <w:rPr>
          <w:rFonts w:hint="eastAsia"/>
        </w:rPr>
        <w:t>9</w:t>
      </w:r>
      <w:r>
        <w:t>.  合同的转让</w:t>
      </w:r>
    </w:p>
    <w:p w14:paraId="34224A73">
      <w:r>
        <w:t>1</w:t>
      </w:r>
      <w:r>
        <w:rPr>
          <w:rFonts w:hint="eastAsia"/>
        </w:rPr>
        <w:t>9</w:t>
      </w:r>
      <w:r>
        <w:t>.1本合同不得以任何形式转让，否则视为乙方违约，甲方可以单方解除本合同，由此造成甲方的损失由乙方承担赔偿（包括但不限于诉讼费、合理律师费等）。</w:t>
      </w:r>
    </w:p>
    <w:p w14:paraId="05BF44B5">
      <w:r>
        <w:t>1</w:t>
      </w:r>
      <w:r>
        <w:rPr>
          <w:rFonts w:hint="eastAsia"/>
        </w:rPr>
        <w:t>9</w:t>
      </w:r>
      <w:r>
        <w:t>.2本合同未经甲方书面同意不得以任何形式的转让或分包，否则视为乙方违约，甲方可以单方解除本合同，由此造成甲方的损失由乙方承担赔偿（包括但不限于诉讼费、合理律师费等）。</w:t>
      </w:r>
    </w:p>
    <w:p w14:paraId="6A322CD7">
      <w:r>
        <w:rPr>
          <w:rFonts w:hint="eastAsia"/>
        </w:rPr>
        <w:t>十</w:t>
      </w:r>
      <w:r>
        <w:t>、合同的生效</w:t>
      </w:r>
    </w:p>
    <w:p w14:paraId="04F8CC59">
      <w:r>
        <w:rPr>
          <w:rFonts w:hint="eastAsia"/>
        </w:rPr>
        <w:t>20</w:t>
      </w:r>
      <w:r>
        <w:t>.  合同的生效</w:t>
      </w:r>
    </w:p>
    <w:p w14:paraId="61518E60">
      <w:r>
        <w:t>本合同在双方签字盖章后生效。</w:t>
      </w:r>
    </w:p>
    <w:p w14:paraId="7C93F148">
      <w:r>
        <w:t>十一、争议解决</w:t>
      </w:r>
    </w:p>
    <w:p w14:paraId="00FF2B26">
      <w:r>
        <w:rPr>
          <w:rFonts w:hint="eastAsia"/>
        </w:rPr>
        <w:t>21</w:t>
      </w:r>
      <w:r>
        <w:t>.  争议解决</w:t>
      </w:r>
    </w:p>
    <w:p w14:paraId="5C552F60">
      <w:r>
        <w:t>甲乙双方因合同发生争议，任何一方可以向</w:t>
      </w:r>
      <w:r>
        <w:rPr>
          <w:rFonts w:hint="eastAsia"/>
        </w:rPr>
        <w:t>项目</w:t>
      </w:r>
      <w:r>
        <w:t>所在地人民法院</w:t>
      </w:r>
      <w:r>
        <w:rPr>
          <w:rFonts w:hint="eastAsia"/>
        </w:rPr>
        <w:t>提起诉讼</w:t>
      </w:r>
      <w:r>
        <w:t>。</w:t>
      </w:r>
    </w:p>
    <w:p w14:paraId="1EE5AB7B">
      <w:r>
        <w:t>十二、附则</w:t>
      </w:r>
    </w:p>
    <w:p w14:paraId="176785A7">
      <w:r>
        <w:t>2</w:t>
      </w:r>
      <w:r>
        <w:rPr>
          <w:rFonts w:hint="eastAsia"/>
        </w:rPr>
        <w:t>2</w:t>
      </w:r>
      <w:r>
        <w:t>.  合同份数。</w:t>
      </w:r>
    </w:p>
    <w:p w14:paraId="3C901D08">
      <w:r>
        <w:t>本合同一式</w:t>
      </w:r>
      <w:r>
        <w:rPr>
          <w:rFonts w:hint="eastAsia"/>
        </w:rPr>
        <w:t>肆</w:t>
      </w:r>
      <w:r>
        <w:t>份，甲方</w:t>
      </w:r>
      <w:r>
        <w:rPr>
          <w:rFonts w:hint="eastAsia"/>
        </w:rPr>
        <w:t>贰</w:t>
      </w:r>
      <w:r>
        <w:t>份，乙方</w:t>
      </w:r>
      <w:r>
        <w:rPr>
          <w:rFonts w:hint="eastAsia"/>
        </w:rPr>
        <w:t>贰</w:t>
      </w:r>
      <w:r>
        <w:t>份。</w:t>
      </w:r>
    </w:p>
    <w:p w14:paraId="2E0437B8">
      <w:r>
        <w:t>2</w:t>
      </w:r>
      <w:r>
        <w:rPr>
          <w:rFonts w:hint="eastAsia"/>
        </w:rPr>
        <w:t>3</w:t>
      </w:r>
      <w:r>
        <w:t>.  未尽事宜</w:t>
      </w:r>
    </w:p>
    <w:p w14:paraId="6CF814B5">
      <w:r>
        <w:rPr>
          <w:rFonts w:hint="eastAsia"/>
        </w:rPr>
        <w:t>本合同未尽事宜应按《中华人民共和国民法典》、《中华人民共和国产品质量法》及其他有关招标采购的法律法规之规定解释。</w:t>
      </w:r>
    </w:p>
    <w:p w14:paraId="4C76811F"/>
    <w:p w14:paraId="1B8EA7E5">
      <w:r>
        <w:rPr>
          <w:rFonts w:hint="eastAsia"/>
        </w:rPr>
        <w:br w:type="page"/>
      </w:r>
    </w:p>
    <w:p w14:paraId="2112EB92">
      <w:pPr>
        <w:jc w:val="center"/>
      </w:pPr>
      <w:r>
        <w:rPr>
          <w:rFonts w:hint="eastAsia"/>
        </w:rPr>
        <w:t>合同主要条款</w:t>
      </w:r>
    </w:p>
    <w:p w14:paraId="493D0372">
      <w:r>
        <w:rPr>
          <w:rFonts w:hint="eastAsia"/>
        </w:rPr>
        <w:t>采购人:（以下称甲方）:</w:t>
      </w:r>
    </w:p>
    <w:p w14:paraId="3C7E6DDA">
      <w:r>
        <w:rPr>
          <w:rFonts w:hint="eastAsia"/>
        </w:rPr>
        <w:t>供应商:（以下称乙方）:</w:t>
      </w:r>
      <w:r>
        <w:rPr>
          <w:rFonts w:hint="eastAsia"/>
        </w:rPr>
        <w:tab/>
      </w:r>
    </w:p>
    <w:p w14:paraId="2A00C7A2"/>
    <w:p w14:paraId="4F51863F">
      <w:r>
        <w:rPr>
          <w:rFonts w:hint="eastAsia"/>
        </w:rPr>
        <w:t>根据《中华人民共和国民法典》等法律法规的规定，甲乙双方按照</w:t>
      </w:r>
      <w:r>
        <w:rPr>
          <w:rFonts w:hint="eastAsia"/>
          <w:u w:val="single"/>
        </w:rPr>
        <w:t xml:space="preserve">       </w:t>
      </w:r>
      <w:r>
        <w:rPr>
          <w:rFonts w:hint="eastAsia"/>
        </w:rPr>
        <w:t>的招标结果签订本合同。</w:t>
      </w:r>
    </w:p>
    <w:p w14:paraId="1C73F7FC">
      <w:r>
        <w:rPr>
          <w:rFonts w:hint="eastAsia"/>
        </w:rPr>
        <w:t>第一条 合同标的</w:t>
      </w:r>
    </w:p>
    <w:p w14:paraId="65D1D412">
      <w:r>
        <w:rPr>
          <w:rFonts w:hint="eastAsia"/>
        </w:rPr>
        <w:t>乙方根据甲方需求提供下列货物：货物名称、规格及数量详见价格明细表。</w:t>
      </w:r>
    </w:p>
    <w:p w14:paraId="14C30D2F">
      <w:r>
        <w:rPr>
          <w:rFonts w:hint="eastAsia"/>
        </w:rPr>
        <w:t xml:space="preserve">第二条 合同总价款 </w:t>
      </w:r>
    </w:p>
    <w:p w14:paraId="40BC2460">
      <w:r>
        <w:rPr>
          <w:rFonts w:hint="eastAsia"/>
        </w:rPr>
        <w:t>本合同项下货物总金额为___________（大写）人民币，小写：（￥：</w:t>
      </w:r>
      <w:r>
        <w:rPr>
          <w:rFonts w:hint="eastAsia"/>
          <w:u w:val="single"/>
        </w:rPr>
        <w:t xml:space="preserve">        </w:t>
      </w:r>
      <w:r>
        <w:t>）元整</w:t>
      </w:r>
      <w:r>
        <w:rPr>
          <w:rFonts w:hint="eastAsia"/>
        </w:rPr>
        <w:t>,分项价款在价格明细表中有明确规定。</w:t>
      </w:r>
    </w:p>
    <w:tbl>
      <w:tblPr>
        <w:tblStyle w:val="4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54"/>
        <w:gridCol w:w="1236"/>
        <w:gridCol w:w="1237"/>
        <w:gridCol w:w="1134"/>
        <w:gridCol w:w="851"/>
        <w:gridCol w:w="1134"/>
        <w:gridCol w:w="1701"/>
      </w:tblGrid>
      <w:tr w14:paraId="4A55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7" w:type="dxa"/>
            <w:vAlign w:val="center"/>
          </w:tcPr>
          <w:p w14:paraId="630B626A">
            <w:pPr>
              <w:ind w:firstLine="0" w:firstLineChars="0"/>
              <w:jc w:val="center"/>
            </w:pPr>
            <w:r>
              <w:rPr>
                <w:rFonts w:hint="eastAsia"/>
              </w:rPr>
              <w:t>序号</w:t>
            </w:r>
          </w:p>
        </w:tc>
        <w:tc>
          <w:tcPr>
            <w:tcW w:w="1354" w:type="dxa"/>
            <w:vAlign w:val="center"/>
          </w:tcPr>
          <w:p w14:paraId="1003562F">
            <w:pPr>
              <w:ind w:firstLine="0" w:firstLineChars="0"/>
              <w:jc w:val="center"/>
            </w:pPr>
            <w:r>
              <w:rPr>
                <w:rFonts w:hint="eastAsia"/>
              </w:rPr>
              <w:t>货物名称</w:t>
            </w:r>
          </w:p>
        </w:tc>
        <w:tc>
          <w:tcPr>
            <w:tcW w:w="1236" w:type="dxa"/>
            <w:vAlign w:val="center"/>
          </w:tcPr>
          <w:p w14:paraId="4B2CA42E">
            <w:pPr>
              <w:ind w:firstLine="0" w:firstLineChars="0"/>
              <w:jc w:val="center"/>
            </w:pPr>
            <w:r>
              <w:rPr>
                <w:rFonts w:hint="eastAsia"/>
              </w:rPr>
              <w:t>材质</w:t>
            </w:r>
          </w:p>
        </w:tc>
        <w:tc>
          <w:tcPr>
            <w:tcW w:w="1237" w:type="dxa"/>
            <w:vAlign w:val="center"/>
          </w:tcPr>
          <w:p w14:paraId="2E54FB78">
            <w:pPr>
              <w:ind w:firstLine="0" w:firstLineChars="0"/>
              <w:jc w:val="center"/>
            </w:pPr>
            <w:r>
              <w:rPr>
                <w:rFonts w:hint="eastAsia"/>
              </w:rPr>
              <w:t>规格、型号</w:t>
            </w:r>
          </w:p>
        </w:tc>
        <w:tc>
          <w:tcPr>
            <w:tcW w:w="1134" w:type="dxa"/>
            <w:vAlign w:val="center"/>
          </w:tcPr>
          <w:p w14:paraId="74B7CFC4">
            <w:pPr>
              <w:ind w:firstLine="0" w:firstLineChars="0"/>
              <w:jc w:val="center"/>
            </w:pPr>
            <w:r>
              <w:rPr>
                <w:rFonts w:hint="eastAsia"/>
              </w:rPr>
              <w:t>数量</w:t>
            </w:r>
          </w:p>
        </w:tc>
        <w:tc>
          <w:tcPr>
            <w:tcW w:w="851" w:type="dxa"/>
            <w:vAlign w:val="center"/>
          </w:tcPr>
          <w:p w14:paraId="5B2E6D5F">
            <w:pPr>
              <w:ind w:firstLine="0" w:firstLineChars="0"/>
              <w:jc w:val="center"/>
            </w:pPr>
            <w:r>
              <w:rPr>
                <w:rFonts w:hint="eastAsia"/>
              </w:rPr>
              <w:t>单位</w:t>
            </w:r>
          </w:p>
        </w:tc>
        <w:tc>
          <w:tcPr>
            <w:tcW w:w="1134" w:type="dxa"/>
            <w:vAlign w:val="center"/>
          </w:tcPr>
          <w:p w14:paraId="25F37175">
            <w:pPr>
              <w:ind w:firstLine="0" w:firstLineChars="0"/>
              <w:jc w:val="center"/>
            </w:pPr>
            <w:r>
              <w:rPr>
                <w:rFonts w:hint="eastAsia"/>
              </w:rPr>
              <w:t>单价</w:t>
            </w:r>
          </w:p>
        </w:tc>
        <w:tc>
          <w:tcPr>
            <w:tcW w:w="1701" w:type="dxa"/>
            <w:vAlign w:val="center"/>
          </w:tcPr>
          <w:p w14:paraId="3819B419">
            <w:pPr>
              <w:ind w:firstLine="0" w:firstLineChars="0"/>
              <w:jc w:val="center"/>
            </w:pPr>
            <w:r>
              <w:rPr>
                <w:rFonts w:hint="eastAsia"/>
              </w:rPr>
              <w:t>合价</w:t>
            </w:r>
          </w:p>
        </w:tc>
      </w:tr>
      <w:tr w14:paraId="79A5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2A3BCD62">
            <w:r>
              <w:rPr>
                <w:rFonts w:hint="eastAsia"/>
              </w:rPr>
              <w:t>1</w:t>
            </w:r>
          </w:p>
        </w:tc>
        <w:tc>
          <w:tcPr>
            <w:tcW w:w="1354" w:type="dxa"/>
          </w:tcPr>
          <w:p w14:paraId="6CE8A8CD"/>
        </w:tc>
        <w:tc>
          <w:tcPr>
            <w:tcW w:w="1236" w:type="dxa"/>
          </w:tcPr>
          <w:p w14:paraId="6FC4DB48"/>
        </w:tc>
        <w:tc>
          <w:tcPr>
            <w:tcW w:w="1237" w:type="dxa"/>
          </w:tcPr>
          <w:p w14:paraId="0B42F33C"/>
        </w:tc>
        <w:tc>
          <w:tcPr>
            <w:tcW w:w="1134" w:type="dxa"/>
          </w:tcPr>
          <w:p w14:paraId="73544FBA"/>
        </w:tc>
        <w:tc>
          <w:tcPr>
            <w:tcW w:w="851" w:type="dxa"/>
          </w:tcPr>
          <w:p w14:paraId="26A41B95"/>
        </w:tc>
        <w:tc>
          <w:tcPr>
            <w:tcW w:w="1134" w:type="dxa"/>
          </w:tcPr>
          <w:p w14:paraId="39EF86F2"/>
        </w:tc>
        <w:tc>
          <w:tcPr>
            <w:tcW w:w="1701" w:type="dxa"/>
          </w:tcPr>
          <w:p w14:paraId="17A9DC9F"/>
        </w:tc>
      </w:tr>
      <w:tr w14:paraId="0BB1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4C632B6E">
            <w:r>
              <w:rPr>
                <w:rFonts w:hint="eastAsia"/>
              </w:rPr>
              <w:t>2</w:t>
            </w:r>
          </w:p>
        </w:tc>
        <w:tc>
          <w:tcPr>
            <w:tcW w:w="1354" w:type="dxa"/>
          </w:tcPr>
          <w:p w14:paraId="7AE0A6BF"/>
        </w:tc>
        <w:tc>
          <w:tcPr>
            <w:tcW w:w="1236" w:type="dxa"/>
          </w:tcPr>
          <w:p w14:paraId="2038DB2F"/>
        </w:tc>
        <w:tc>
          <w:tcPr>
            <w:tcW w:w="1237" w:type="dxa"/>
          </w:tcPr>
          <w:p w14:paraId="13526083"/>
        </w:tc>
        <w:tc>
          <w:tcPr>
            <w:tcW w:w="1134" w:type="dxa"/>
          </w:tcPr>
          <w:p w14:paraId="4619E4F6"/>
        </w:tc>
        <w:tc>
          <w:tcPr>
            <w:tcW w:w="851" w:type="dxa"/>
          </w:tcPr>
          <w:p w14:paraId="3B5828DC"/>
        </w:tc>
        <w:tc>
          <w:tcPr>
            <w:tcW w:w="1134" w:type="dxa"/>
          </w:tcPr>
          <w:p w14:paraId="338C9876"/>
        </w:tc>
        <w:tc>
          <w:tcPr>
            <w:tcW w:w="1701" w:type="dxa"/>
          </w:tcPr>
          <w:p w14:paraId="00818F63"/>
        </w:tc>
      </w:tr>
      <w:tr w14:paraId="6AE0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733427B1">
            <w:r>
              <w:rPr>
                <w:rFonts w:hint="eastAsia"/>
              </w:rPr>
              <w:t>3</w:t>
            </w:r>
          </w:p>
        </w:tc>
        <w:tc>
          <w:tcPr>
            <w:tcW w:w="1354" w:type="dxa"/>
          </w:tcPr>
          <w:p w14:paraId="6547D2F2"/>
        </w:tc>
        <w:tc>
          <w:tcPr>
            <w:tcW w:w="1236" w:type="dxa"/>
          </w:tcPr>
          <w:p w14:paraId="4F79AEF2"/>
        </w:tc>
        <w:tc>
          <w:tcPr>
            <w:tcW w:w="1237" w:type="dxa"/>
          </w:tcPr>
          <w:p w14:paraId="159236A0"/>
        </w:tc>
        <w:tc>
          <w:tcPr>
            <w:tcW w:w="1134" w:type="dxa"/>
          </w:tcPr>
          <w:p w14:paraId="4B77271F"/>
        </w:tc>
        <w:tc>
          <w:tcPr>
            <w:tcW w:w="851" w:type="dxa"/>
          </w:tcPr>
          <w:p w14:paraId="17D8E0EF"/>
        </w:tc>
        <w:tc>
          <w:tcPr>
            <w:tcW w:w="1134" w:type="dxa"/>
          </w:tcPr>
          <w:p w14:paraId="72DFF4B8"/>
        </w:tc>
        <w:tc>
          <w:tcPr>
            <w:tcW w:w="1701" w:type="dxa"/>
          </w:tcPr>
          <w:p w14:paraId="0A98114E"/>
        </w:tc>
      </w:tr>
      <w:tr w14:paraId="16E7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00F85BEF">
            <w:r>
              <w:t>…</w:t>
            </w:r>
          </w:p>
        </w:tc>
        <w:tc>
          <w:tcPr>
            <w:tcW w:w="1354" w:type="dxa"/>
          </w:tcPr>
          <w:p w14:paraId="6E741C01"/>
        </w:tc>
        <w:tc>
          <w:tcPr>
            <w:tcW w:w="1236" w:type="dxa"/>
          </w:tcPr>
          <w:p w14:paraId="54F8CF8B"/>
        </w:tc>
        <w:tc>
          <w:tcPr>
            <w:tcW w:w="1237" w:type="dxa"/>
          </w:tcPr>
          <w:p w14:paraId="4F23E088"/>
        </w:tc>
        <w:tc>
          <w:tcPr>
            <w:tcW w:w="1134" w:type="dxa"/>
          </w:tcPr>
          <w:p w14:paraId="4E535CC7"/>
        </w:tc>
        <w:tc>
          <w:tcPr>
            <w:tcW w:w="851" w:type="dxa"/>
          </w:tcPr>
          <w:p w14:paraId="74405F75"/>
        </w:tc>
        <w:tc>
          <w:tcPr>
            <w:tcW w:w="1134" w:type="dxa"/>
          </w:tcPr>
          <w:p w14:paraId="2DF64CFE"/>
        </w:tc>
        <w:tc>
          <w:tcPr>
            <w:tcW w:w="1701" w:type="dxa"/>
          </w:tcPr>
          <w:p w14:paraId="32CB8A52"/>
        </w:tc>
      </w:tr>
      <w:tr w14:paraId="60DC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53C83E1A"/>
        </w:tc>
        <w:tc>
          <w:tcPr>
            <w:tcW w:w="1354" w:type="dxa"/>
          </w:tcPr>
          <w:p w14:paraId="3FE0F8FB"/>
        </w:tc>
        <w:tc>
          <w:tcPr>
            <w:tcW w:w="1236" w:type="dxa"/>
          </w:tcPr>
          <w:p w14:paraId="22597E0C"/>
        </w:tc>
        <w:tc>
          <w:tcPr>
            <w:tcW w:w="1237" w:type="dxa"/>
          </w:tcPr>
          <w:p w14:paraId="3DC147AC"/>
        </w:tc>
        <w:tc>
          <w:tcPr>
            <w:tcW w:w="1134" w:type="dxa"/>
          </w:tcPr>
          <w:p w14:paraId="74E05459"/>
        </w:tc>
        <w:tc>
          <w:tcPr>
            <w:tcW w:w="851" w:type="dxa"/>
          </w:tcPr>
          <w:p w14:paraId="6A46C7DC"/>
        </w:tc>
        <w:tc>
          <w:tcPr>
            <w:tcW w:w="1134" w:type="dxa"/>
          </w:tcPr>
          <w:p w14:paraId="47114612"/>
        </w:tc>
        <w:tc>
          <w:tcPr>
            <w:tcW w:w="1701" w:type="dxa"/>
          </w:tcPr>
          <w:p w14:paraId="37281404"/>
        </w:tc>
      </w:tr>
      <w:tr w14:paraId="15DFA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6028CCE0"/>
        </w:tc>
        <w:tc>
          <w:tcPr>
            <w:tcW w:w="1354" w:type="dxa"/>
          </w:tcPr>
          <w:p w14:paraId="47134450"/>
        </w:tc>
        <w:tc>
          <w:tcPr>
            <w:tcW w:w="1236" w:type="dxa"/>
          </w:tcPr>
          <w:p w14:paraId="017F7F86"/>
        </w:tc>
        <w:tc>
          <w:tcPr>
            <w:tcW w:w="1237" w:type="dxa"/>
          </w:tcPr>
          <w:p w14:paraId="26F86606"/>
        </w:tc>
        <w:tc>
          <w:tcPr>
            <w:tcW w:w="1134" w:type="dxa"/>
          </w:tcPr>
          <w:p w14:paraId="3CF07736"/>
        </w:tc>
        <w:tc>
          <w:tcPr>
            <w:tcW w:w="851" w:type="dxa"/>
          </w:tcPr>
          <w:p w14:paraId="6A3D3389"/>
        </w:tc>
        <w:tc>
          <w:tcPr>
            <w:tcW w:w="1134" w:type="dxa"/>
          </w:tcPr>
          <w:p w14:paraId="153A7C14"/>
        </w:tc>
        <w:tc>
          <w:tcPr>
            <w:tcW w:w="1701" w:type="dxa"/>
          </w:tcPr>
          <w:p w14:paraId="41F952F8"/>
        </w:tc>
      </w:tr>
      <w:tr w14:paraId="0D6B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76604F3C"/>
        </w:tc>
        <w:tc>
          <w:tcPr>
            <w:tcW w:w="1354" w:type="dxa"/>
          </w:tcPr>
          <w:p w14:paraId="2EDB9B88"/>
        </w:tc>
        <w:tc>
          <w:tcPr>
            <w:tcW w:w="1236" w:type="dxa"/>
          </w:tcPr>
          <w:p w14:paraId="06E4FC27"/>
        </w:tc>
        <w:tc>
          <w:tcPr>
            <w:tcW w:w="1237" w:type="dxa"/>
          </w:tcPr>
          <w:p w14:paraId="64669619"/>
        </w:tc>
        <w:tc>
          <w:tcPr>
            <w:tcW w:w="1134" w:type="dxa"/>
          </w:tcPr>
          <w:p w14:paraId="38BE4141"/>
        </w:tc>
        <w:tc>
          <w:tcPr>
            <w:tcW w:w="851" w:type="dxa"/>
          </w:tcPr>
          <w:p w14:paraId="5B264180"/>
        </w:tc>
        <w:tc>
          <w:tcPr>
            <w:tcW w:w="1134" w:type="dxa"/>
          </w:tcPr>
          <w:p w14:paraId="65D5C0F8"/>
        </w:tc>
        <w:tc>
          <w:tcPr>
            <w:tcW w:w="1701" w:type="dxa"/>
          </w:tcPr>
          <w:p w14:paraId="0661E29B"/>
        </w:tc>
      </w:tr>
      <w:tr w14:paraId="545A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17" w:type="dxa"/>
            <w:vAlign w:val="center"/>
          </w:tcPr>
          <w:p w14:paraId="2389296E"/>
        </w:tc>
        <w:tc>
          <w:tcPr>
            <w:tcW w:w="1354" w:type="dxa"/>
          </w:tcPr>
          <w:p w14:paraId="562509A8"/>
        </w:tc>
        <w:tc>
          <w:tcPr>
            <w:tcW w:w="1236" w:type="dxa"/>
          </w:tcPr>
          <w:p w14:paraId="2AF037C4"/>
        </w:tc>
        <w:tc>
          <w:tcPr>
            <w:tcW w:w="1237" w:type="dxa"/>
          </w:tcPr>
          <w:p w14:paraId="2F9FC873"/>
        </w:tc>
        <w:tc>
          <w:tcPr>
            <w:tcW w:w="1134" w:type="dxa"/>
          </w:tcPr>
          <w:p w14:paraId="57AFEE8C"/>
        </w:tc>
        <w:tc>
          <w:tcPr>
            <w:tcW w:w="851" w:type="dxa"/>
          </w:tcPr>
          <w:p w14:paraId="702DEB50"/>
        </w:tc>
        <w:tc>
          <w:tcPr>
            <w:tcW w:w="1134" w:type="dxa"/>
          </w:tcPr>
          <w:p w14:paraId="279B6A19"/>
        </w:tc>
        <w:tc>
          <w:tcPr>
            <w:tcW w:w="1701" w:type="dxa"/>
          </w:tcPr>
          <w:p w14:paraId="273AFCAE"/>
        </w:tc>
      </w:tr>
      <w:tr w14:paraId="0E22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9464" w:type="dxa"/>
            <w:gridSpan w:val="8"/>
            <w:vAlign w:val="center"/>
          </w:tcPr>
          <w:p w14:paraId="46699CC2">
            <w:r>
              <w:rPr>
                <w:rFonts w:hint="eastAsia"/>
              </w:rPr>
              <w:t>合同价格（大写）人民币元整；      　（￥.00）</w:t>
            </w:r>
          </w:p>
        </w:tc>
      </w:tr>
    </w:tbl>
    <w:p w14:paraId="7C348139">
      <w:pPr>
        <w:pStyle w:val="187"/>
      </w:pPr>
      <w:r>
        <w:rPr>
          <w:rFonts w:hint="eastAsia"/>
        </w:rPr>
        <w:t>本合同总价款均已包括本项目的所有费用，包括但不限于由投标人为实施和完成本合同所承担的全部费用和要求获得的利润，包括招标文件投标人须知要求投标人承担的费用以及货物、辅材、配件、运输、管理、维护、保险、利润、税金、保险、抽样产品检测费用、现场安装调试达到正常可使用状态、政策性文件规定及合同包含的所有风险、责任等各项应有费用以及投标人认为需要的其他费用等本项目招标文件规定的全部费用。</w:t>
      </w:r>
    </w:p>
    <w:p w14:paraId="033FAA73">
      <w:r>
        <w:rPr>
          <w:rFonts w:hint="eastAsia"/>
        </w:rPr>
        <w:t>本合同总价款还包含乙方应当提供的伴随服务/售后服务费用。</w:t>
      </w:r>
    </w:p>
    <w:p w14:paraId="4B8A242F">
      <w:r>
        <w:rPr>
          <w:rFonts w:hint="eastAsia"/>
        </w:rPr>
        <w:t>本合同执行期间合同单价保持不变，最终结算价按实际供货数量予以结算。</w:t>
      </w:r>
    </w:p>
    <w:p w14:paraId="0CE6E896">
      <w:r>
        <w:rPr>
          <w:rFonts w:hint="eastAsia"/>
        </w:rPr>
        <w:t>第三条 合同款支付</w:t>
      </w:r>
    </w:p>
    <w:p w14:paraId="1FAC8C62">
      <w:r>
        <w:rPr>
          <w:rFonts w:hint="eastAsia"/>
        </w:rPr>
        <w:t>1、本合同项下所有款项均以人民币支付。</w:t>
      </w:r>
    </w:p>
    <w:p w14:paraId="07D3842C">
      <w:r>
        <w:rPr>
          <w:rFonts w:hint="eastAsia"/>
        </w:rPr>
        <w:t>2、本合同项下的采购资金由甲方自行支付，乙方向甲方开具发票。</w:t>
      </w:r>
    </w:p>
    <w:p w14:paraId="28348D1C">
      <w:r>
        <w:rPr>
          <w:rFonts w:hint="eastAsia"/>
        </w:rPr>
        <w:t>3、付款方式：详见投标人须知。</w:t>
      </w:r>
    </w:p>
    <w:p w14:paraId="41A7B715">
      <w:r>
        <w:rPr>
          <w:rFonts w:hint="eastAsia"/>
        </w:rPr>
        <w:t xml:space="preserve">第四条 组成本合同的有关文件 </w:t>
      </w:r>
    </w:p>
    <w:p w14:paraId="102263A2">
      <w:r>
        <w:rPr>
          <w:rFonts w:hint="eastAsia"/>
        </w:rPr>
        <w:t>下列与本次采购活动有关的文件及有关附件是本合同不可分割的组成部分，与本合同具有同等法律效力，这些文件包括但不限于：</w:t>
      </w:r>
    </w:p>
    <w:p w14:paraId="1C5880F0">
      <w:r>
        <w:rPr>
          <w:rFonts w:hint="eastAsia"/>
        </w:rPr>
        <w:t>1、招标文件；</w:t>
      </w:r>
    </w:p>
    <w:p w14:paraId="3495516E">
      <w:r>
        <w:rPr>
          <w:rFonts w:hint="eastAsia"/>
        </w:rPr>
        <w:t xml:space="preserve">2、乙方提供的投标文件和报价明细表；           </w:t>
      </w:r>
    </w:p>
    <w:p w14:paraId="5A01C857">
      <w:r>
        <w:rPr>
          <w:rFonts w:hint="eastAsia"/>
        </w:rPr>
        <w:t>3、供货一览表；</w:t>
      </w:r>
    </w:p>
    <w:p w14:paraId="25BF2059">
      <w:r>
        <w:rPr>
          <w:rFonts w:hint="eastAsia"/>
        </w:rPr>
        <w:t>4、投标承诺；</w:t>
      </w:r>
    </w:p>
    <w:p w14:paraId="100E2346">
      <w:r>
        <w:rPr>
          <w:rFonts w:hint="eastAsia"/>
        </w:rPr>
        <w:t>5、中标通知书；</w:t>
      </w:r>
    </w:p>
    <w:p w14:paraId="7D45C1E2">
      <w:r>
        <w:rPr>
          <w:rFonts w:hint="eastAsia"/>
        </w:rPr>
        <w:t>6、甲乙双方商定的其他文件等。</w:t>
      </w:r>
    </w:p>
    <w:p w14:paraId="0A279B5D">
      <w:r>
        <w:rPr>
          <w:rFonts w:hint="eastAsia"/>
        </w:rPr>
        <w:t>第五条</w:t>
      </w:r>
      <w:r>
        <w:rPr>
          <w:rFonts w:hint="eastAsia" w:cs="宋体"/>
        </w:rPr>
        <w:t>知识产权</w:t>
      </w:r>
    </w:p>
    <w:p w14:paraId="7D4A2AF6">
      <w:r>
        <w:rPr>
          <w:rFonts w:hint="eastAsia"/>
        </w:rPr>
        <w:t>乙</w:t>
      </w:r>
      <w:r>
        <w:t>方应保证</w:t>
      </w:r>
      <w:r>
        <w:rPr>
          <w:rFonts w:hint="eastAsia"/>
        </w:rPr>
        <w:t>其提供的服务</w:t>
      </w:r>
      <w:r>
        <w:t>不受任何第三方提出的侵犯其著作权、商标权、专利权等知识产权方面的起诉</w:t>
      </w:r>
      <w:r>
        <w:rPr>
          <w:rFonts w:hint="eastAsia"/>
        </w:rPr>
        <w:t>；</w:t>
      </w:r>
      <w:r>
        <w:t>如果任何第三方提出侵权</w:t>
      </w:r>
      <w:r>
        <w:rPr>
          <w:rFonts w:hint="eastAsia"/>
        </w:rPr>
        <w:t>指控</w:t>
      </w:r>
      <w:r>
        <w:t>，那么乙方须与该第三方交涉并承担由此发生的一切责任、费用和赔偿</w:t>
      </w:r>
      <w:r>
        <w:rPr>
          <w:rFonts w:hint="eastAsia"/>
        </w:rPr>
        <w:t>；</w:t>
      </w:r>
    </w:p>
    <w:p w14:paraId="221A6274">
      <w:r>
        <w:rPr>
          <w:rFonts w:hint="eastAsia"/>
        </w:rPr>
        <w:t>第六条 质量保证</w:t>
      </w:r>
    </w:p>
    <w:p w14:paraId="378163FA">
      <w:r>
        <w:rPr>
          <w:rFonts w:hint="eastAsia"/>
        </w:rPr>
        <w:t>1、乙方所提供的货物的技术规格应与招标文件规定的技术规格及所附的“技术规格响应表”相一致；若技术性能无特殊说明，则按国家有关部门最新颁布的标准及规范为准。</w:t>
      </w:r>
    </w:p>
    <w:p w14:paraId="7FA5C44F">
      <w:r>
        <w:rPr>
          <w:rFonts w:hint="eastAsia"/>
        </w:rPr>
        <w:t>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01CB789">
      <w:r>
        <w:rPr>
          <w:rFonts w:hint="eastAsia"/>
        </w:rPr>
        <w:t>第七条 包装要求</w:t>
      </w:r>
    </w:p>
    <w:p w14:paraId="50397663">
      <w:r>
        <w:rPr>
          <w:rFonts w:hint="eastAsia"/>
        </w:rPr>
        <w:t>1、除合同另有规定外，乙方提供的全部货物均应按国家或专业标准保护措施进行包装。该包装应适应于远距离运输、防潮、防震、防锈和防野蛮装卸，以确保货物安全无损运抵指定地点。由于包装不善所引起的货物损失均由乙方承担。</w:t>
      </w:r>
    </w:p>
    <w:p w14:paraId="125CEFF4">
      <w:r>
        <w:rPr>
          <w:rFonts w:hint="eastAsia"/>
        </w:rPr>
        <w:t>2、每一包装单元内应附详细的装箱单和质量合格凭证。</w:t>
      </w:r>
    </w:p>
    <w:p w14:paraId="65A4E5E2">
      <w:r>
        <w:rPr>
          <w:rFonts w:hint="eastAsia"/>
        </w:rPr>
        <w:t>3、乙方保证货物不存在危及人身及财产安全的产品缺陷，否则应承担全部法律责任。</w:t>
      </w:r>
    </w:p>
    <w:p w14:paraId="1DF0CDCA">
      <w:r>
        <w:rPr>
          <w:rFonts w:hint="eastAsia"/>
        </w:rPr>
        <w:t>第八条 交货和验收</w:t>
      </w:r>
    </w:p>
    <w:p w14:paraId="37BA9BF5">
      <w:r>
        <w:rPr>
          <w:rFonts w:hint="eastAsia"/>
        </w:rPr>
        <w:t>1、乙方应当在合同签订后天内将货物安装调试完毕交付甲方正常使用，地点由甲方指定。招标文件有约定的，从其约定。</w:t>
      </w:r>
    </w:p>
    <w:p w14:paraId="519C4257">
      <w:r>
        <w:rPr>
          <w:rFonts w:hint="eastAsia"/>
        </w:rPr>
        <w:t>2、乙方交付的货物应当完全符合本合同或者招投标文件所规定的货物、数量和规格要求。乙方提供的货物不符合招投标文件和合同规定的，甲方有权拒收货物，由此引起的风险，由乙方承担。</w:t>
      </w:r>
    </w:p>
    <w:p w14:paraId="2E578E83">
      <w:r>
        <w:rPr>
          <w:rFonts w:hint="eastAsia"/>
        </w:rPr>
        <w:t>3、货物的到货验收包括：生产厂家名称、品牌、型号、规格、数量、外观质量、配置及货物包装是否完好。</w:t>
      </w:r>
    </w:p>
    <w:p w14:paraId="4B86770C">
      <w:r>
        <w:rPr>
          <w:rFonts w:hint="eastAsia"/>
        </w:rPr>
        <w:t>4、乙方应将所提供货物的装箱清单等交付给甲方；乙方不能完整交付货物及本款规定的单证和工具的，视为未按合同约定交货，乙方负责补齐，因此导致逾期交付的，由乙方承担相关的违约责任。</w:t>
      </w:r>
    </w:p>
    <w:p w14:paraId="016A5192">
      <w:r>
        <w:rPr>
          <w:rFonts w:hint="eastAsia"/>
        </w:rPr>
        <w:t>5、货物验收标准：按行业通行标准、厂方出厂标准和乙方投标文件的承诺中的最高标准。甲乙双方应在货物安装调试完毕后的1</w:t>
      </w:r>
      <w:r>
        <w:t>0</w:t>
      </w:r>
      <w:r>
        <w:rPr>
          <w:rFonts w:hint="eastAsia"/>
        </w:rPr>
        <w:t xml:space="preserve">个工作日内组织验收，在验收之前，乙方需提前提交相应的调试计划供甲方确认，乙方还应对所有检验验收的结果、步骤、原始数据等作妥善记录。乙方应将记录提供给甲方。检验验收出现全部或部分未达到本合同所约定的技术指标，甲方有权选择下列任一处理方式： </w:t>
      </w:r>
    </w:p>
    <w:p w14:paraId="24F3B3B2">
      <w:r>
        <w:rPr>
          <w:rFonts w:hint="eastAsia"/>
        </w:rPr>
        <w:t>a.重新验收直至合格为止；</w:t>
      </w:r>
    </w:p>
    <w:p w14:paraId="419E342A">
      <w:r>
        <w:rPr>
          <w:rFonts w:hint="eastAsia"/>
        </w:rPr>
        <w:t xml:space="preserve"> b.要求乙方对货物进行免费更换，然后重新检测、验收直至合格为止。</w:t>
      </w:r>
    </w:p>
    <w:p w14:paraId="65B4C0E7">
      <w:r>
        <w:rPr>
          <w:rFonts w:hint="eastAsia"/>
        </w:rPr>
        <w:t xml:space="preserve"> 甲方因乙方原因所产生的所有费用损失均由乙方负担</w:t>
      </w:r>
    </w:p>
    <w:p w14:paraId="53E8989C">
      <w:r>
        <w:rPr>
          <w:rFonts w:hint="eastAsia"/>
        </w:rPr>
        <w:t>第九条 履约保证金</w:t>
      </w:r>
    </w:p>
    <w:p w14:paraId="30EDDFBB">
      <w:r>
        <w:rPr>
          <w:rFonts w:hint="eastAsia"/>
        </w:rPr>
        <w:t>1、履约保证金的形式：转账、履约担保或者乙方基本账户开户行出具的银行保函、保险公司保险单。</w:t>
      </w:r>
    </w:p>
    <w:p w14:paraId="6F6A4BD2">
      <w:r>
        <w:rPr>
          <w:rFonts w:hint="eastAsia"/>
        </w:rPr>
        <w:t>2、履约保证金的金额：</w:t>
      </w:r>
      <w:r>
        <w:rPr>
          <w:rFonts w:hint="eastAsia"/>
          <w:u w:val="single"/>
        </w:rPr>
        <w:t>中标价的10%</w:t>
      </w:r>
      <w:r>
        <w:rPr>
          <w:rFonts w:hint="eastAsia"/>
        </w:rPr>
        <w:t>。</w:t>
      </w:r>
    </w:p>
    <w:p w14:paraId="434425F1">
      <w:r>
        <w:rPr>
          <w:rFonts w:hint="eastAsia"/>
        </w:rPr>
        <w:t>注：对提供＂信用中国(江苏盐城)＂备案的第三方信用报告AA评级及以上采购供应商，免收履约保证金或履约保证金缴纳比例降低，合同订立前需提供相关证明材料。</w:t>
      </w:r>
    </w:p>
    <w:p w14:paraId="60F0302C">
      <w:r>
        <w:rPr>
          <w:rFonts w:hint="eastAsia"/>
        </w:rPr>
        <w:t>3、履约保证金退还：该项目全部实施完成并经甲方验收合格且无违约情形后一周内退还。</w:t>
      </w:r>
    </w:p>
    <w:p w14:paraId="6635D60A">
      <w:r>
        <w:rPr>
          <w:rFonts w:hint="eastAsia"/>
        </w:rPr>
        <w:t>第十条 伴随服务／售后服务</w:t>
      </w:r>
    </w:p>
    <w:p w14:paraId="23BF5104">
      <w:r>
        <w:rPr>
          <w:rFonts w:hint="eastAsia"/>
        </w:rPr>
        <w:t>1、乙方应按照国家有关法律法规规章和“三包”规定以及合同所附的“服务承诺”提供服务。</w:t>
      </w:r>
    </w:p>
    <w:p w14:paraId="3224460E">
      <w:r>
        <w:rPr>
          <w:rFonts w:hint="eastAsia"/>
        </w:rPr>
        <w:t>2、除前款规定外，乙方还应提供下列服务：</w:t>
      </w:r>
    </w:p>
    <w:p w14:paraId="6713FAFC">
      <w:r>
        <w:rPr>
          <w:rFonts w:hint="eastAsia"/>
        </w:rPr>
        <w:t>（1）货物的现场安装、调试；</w:t>
      </w:r>
    </w:p>
    <w:p w14:paraId="6182F275">
      <w:r>
        <w:rPr>
          <w:rFonts w:hint="eastAsia"/>
        </w:rPr>
        <w:t>（2）就货物的安装、运行及维护等对甲方人员进行免费培训。</w:t>
      </w:r>
    </w:p>
    <w:p w14:paraId="384C439B">
      <w:r>
        <w:rPr>
          <w:rFonts w:hint="eastAsia"/>
        </w:rPr>
        <w:t>3、若招标文件中不包含有关伴随服务或售后服务的承诺，双方作如下约定：</w:t>
      </w:r>
    </w:p>
    <w:p w14:paraId="53380499">
      <w:r>
        <w:rPr>
          <w:rFonts w:hint="eastAsia"/>
        </w:rPr>
        <w:t>3.1 乙方应为甲方提供免费培训服务，并指派专人负责与甲方联系售后服务事宜。主要培训内容为货物的基本结构、性能、主要部件的构造及处理，日常使用操作、保养与管理、常见故障的排除、紧急情况的处理等，乙方还需就货物的功能对甲方人员进行相应的技术培训，培训地点主要在货物安装现场或由甲方安排。</w:t>
      </w:r>
    </w:p>
    <w:p w14:paraId="2D49398A">
      <w:r>
        <w:rPr>
          <w:rFonts w:hint="eastAsia"/>
        </w:rPr>
        <w:t>3.2 所购货物按乙方投标承诺提供免费维护和质量保证，保修费用计入总价。</w:t>
      </w:r>
    </w:p>
    <w:p w14:paraId="480E9C57">
      <w:r>
        <w:rPr>
          <w:rFonts w:hint="eastAsia"/>
        </w:rPr>
        <w:t>3.3 保修期内，乙方负责对其提供的货物进行维修保养，不再收取任何费用，但不可抗力（如火灾、雷击等）造成的故障除外。</w:t>
      </w:r>
    </w:p>
    <w:p w14:paraId="2EC1D9F5">
      <w:r>
        <w:rPr>
          <w:rFonts w:hint="eastAsia"/>
        </w:rPr>
        <w:t>3.4 乙方在接到甲方维修要求后，必须在2小时内对甲方所提出的维修要求作出响应，6小时内到达维修现场，并在最短时间内修复完毕，如无法当场维修则 12 小时内提出解决方案，否则由于故障造成的全部损失乙方承担。</w:t>
      </w:r>
    </w:p>
    <w:p w14:paraId="5FB1177B">
      <w:r>
        <w:rPr>
          <w:rFonts w:hint="eastAsia"/>
        </w:rPr>
        <w:t>3.5 若货物故障在检修8工作小时后仍无法排除，乙方应在2</w:t>
      </w:r>
      <w:r>
        <w:t>4</w:t>
      </w:r>
      <w:r>
        <w:rPr>
          <w:rFonts w:hint="eastAsia"/>
        </w:rPr>
        <w:t>小时内免费提供不低于故障货物规格型号档次的备用货物供甲方使用，直至故障货物修复。</w:t>
      </w:r>
    </w:p>
    <w:p w14:paraId="71ED1D67">
      <w:r>
        <w:rPr>
          <w:rFonts w:hint="eastAsia"/>
        </w:rPr>
        <w:t>3.6 所有货物保修服务方式均为乙方上门保修，即由乙方派员到货物使用现场维修，由此产生的一切费用均由乙方承担。</w:t>
      </w:r>
    </w:p>
    <w:p w14:paraId="33450A96">
      <w:r>
        <w:rPr>
          <w:rFonts w:hint="eastAsia"/>
        </w:rPr>
        <w:t>3.7 保修期后的货物维护由双方协商再定。</w:t>
      </w:r>
    </w:p>
    <w:p w14:paraId="1E5AE1F7">
      <w:r>
        <w:rPr>
          <w:rFonts w:hint="eastAsia"/>
        </w:rPr>
        <w:t>增加</w:t>
      </w:r>
    </w:p>
    <w:p w14:paraId="736C0BE9">
      <w:r>
        <w:rPr>
          <w:rFonts w:hint="eastAsia"/>
        </w:rPr>
        <w:t>3</w:t>
      </w:r>
      <w:r>
        <w:t>.8合同签订后，</w:t>
      </w:r>
      <w:r>
        <w:rPr>
          <w:rFonts w:hint="eastAsia"/>
        </w:rPr>
        <w:t>乙方</w:t>
      </w:r>
      <w:r>
        <w:t>须在合同签约后</w:t>
      </w:r>
      <w:r>
        <w:rPr>
          <w:rFonts w:hint="eastAsia"/>
        </w:rPr>
        <w:t>1</w:t>
      </w:r>
      <w:r>
        <w:t>0日内向</w:t>
      </w:r>
      <w:r>
        <w:rPr>
          <w:rFonts w:hint="eastAsia"/>
        </w:rPr>
        <w:t>甲</w:t>
      </w:r>
      <w:r>
        <w:t>方提供样品，经</w:t>
      </w:r>
      <w:r>
        <w:rPr>
          <w:rFonts w:hint="eastAsia"/>
        </w:rPr>
        <w:t>甲方</w:t>
      </w:r>
      <w:r>
        <w:t>同意后方可组织供货，</w:t>
      </w:r>
      <w:r>
        <w:rPr>
          <w:rFonts w:hint="eastAsia"/>
        </w:rPr>
        <w:t>乙方</w:t>
      </w:r>
      <w:r>
        <w:t>未能在合同签约后</w:t>
      </w:r>
      <w:r>
        <w:rPr>
          <w:rFonts w:hint="eastAsia"/>
        </w:rPr>
        <w:t>1</w:t>
      </w:r>
      <w:r>
        <w:t>0日内向</w:t>
      </w:r>
      <w:r>
        <w:rPr>
          <w:rFonts w:hint="eastAsia"/>
        </w:rPr>
        <w:t>甲</w:t>
      </w:r>
      <w:r>
        <w:t>方提供样品或提供的样品不符合</w:t>
      </w:r>
      <w:r>
        <w:rPr>
          <w:rFonts w:hint="eastAsia"/>
        </w:rPr>
        <w:t>甲</w:t>
      </w:r>
      <w:r>
        <w:t>方要求的，</w:t>
      </w:r>
      <w:r>
        <w:rPr>
          <w:rFonts w:hint="eastAsia"/>
        </w:rPr>
        <w:t>甲</w:t>
      </w:r>
      <w:r>
        <w:t>方可单方面解除合同，由此引起的责任、后果由</w:t>
      </w:r>
      <w:r>
        <w:rPr>
          <w:rFonts w:hint="eastAsia"/>
        </w:rPr>
        <w:t>乙</w:t>
      </w:r>
      <w:r>
        <w:t>方承担</w:t>
      </w:r>
      <w:r>
        <w:rPr>
          <w:rFonts w:hint="eastAsia"/>
        </w:rPr>
        <w:t>。</w:t>
      </w:r>
    </w:p>
    <w:p w14:paraId="787FC021">
      <w:pPr>
        <w:pStyle w:val="20"/>
        <w:ind w:firstLine="372"/>
      </w:pPr>
      <w:r>
        <w:rPr>
          <w:rFonts w:hint="eastAsia"/>
        </w:rPr>
        <w:t>3</w:t>
      </w:r>
      <w:r>
        <w:t>.9</w:t>
      </w:r>
      <w:r>
        <w:rPr>
          <w:rFonts w:hint="eastAsia"/>
        </w:rPr>
        <w:t>乙方负责协调物业电梯使用，搬运过程需采取防撞措施，确保公共区域、电梯及家具无损坏。</w:t>
      </w:r>
    </w:p>
    <w:p w14:paraId="1306F454">
      <w:r>
        <w:rPr>
          <w:rFonts w:hint="eastAsia"/>
        </w:rPr>
        <w:t>4. 本项目免费保修期为</w:t>
      </w:r>
      <w:r>
        <w:rPr>
          <w:u w:val="single"/>
        </w:rPr>
        <w:t xml:space="preserve">   </w:t>
      </w:r>
      <w:r>
        <w:rPr>
          <w:rFonts w:hint="eastAsia"/>
        </w:rPr>
        <w:t>年。自产品验收合格之日起计算。</w:t>
      </w:r>
    </w:p>
    <w:p w14:paraId="27E6485E">
      <w:r>
        <w:rPr>
          <w:rFonts w:hint="eastAsia"/>
        </w:rPr>
        <w:t>第十一条 合同的变更和终止</w:t>
      </w:r>
    </w:p>
    <w:p w14:paraId="09C8CCB3">
      <w:r>
        <w:rPr>
          <w:rFonts w:hint="eastAsia"/>
        </w:rPr>
        <w:t>1、本合同一经签订，甲乙双方不得擅自变更、中止或终止合同。</w:t>
      </w:r>
    </w:p>
    <w:p w14:paraId="7F1AAB53">
      <w:r>
        <w:rPr>
          <w:rFonts w:hint="eastAsia"/>
        </w:rPr>
        <w:t>2、除发生法律规定的不能预见、不能避免并不能克服的客观情况外，甲乙双方不得放弃或拒绝履行合同。</w:t>
      </w:r>
    </w:p>
    <w:p w14:paraId="0924117D">
      <w:r>
        <w:rPr>
          <w:rFonts w:hint="eastAsia"/>
        </w:rPr>
        <w:t>第十二条 合同的转让</w:t>
      </w:r>
    </w:p>
    <w:p w14:paraId="152AB45C">
      <w:r>
        <w:rPr>
          <w:rFonts w:hint="eastAsia"/>
        </w:rPr>
        <w:t>乙方不得擅自部分或全部转让其应履行的合同义务。</w:t>
      </w:r>
    </w:p>
    <w:p w14:paraId="468C75B0">
      <w:r>
        <w:rPr>
          <w:rFonts w:hint="eastAsia"/>
        </w:rPr>
        <w:t>第十三条 违约责任</w:t>
      </w:r>
    </w:p>
    <w:p w14:paraId="627528EA">
      <w:r>
        <w:rPr>
          <w:rFonts w:hint="eastAsia"/>
        </w:rPr>
        <w:t>1、甲方无正当理由拒收货物的，由甲方向乙方偿付合同总价的5%违约金，</w:t>
      </w:r>
      <w:r>
        <w:rPr>
          <w:rFonts w:hint="eastAsia" w:cs="宋体"/>
        </w:rPr>
        <w:t>违约金不足以补偿损失的，乙方有权要求甲方补足。</w:t>
      </w:r>
      <w:r>
        <w:rPr>
          <w:rFonts w:hint="eastAsia"/>
        </w:rPr>
        <w:t>。</w:t>
      </w:r>
    </w:p>
    <w:p w14:paraId="671D5D65">
      <w:r>
        <w:rPr>
          <w:rFonts w:hint="eastAsia"/>
        </w:rPr>
        <w:t>2、甲方未按合同规定的期限向乙方支付货款的，按照逾期付款金额的每天万分之四支付逾期付款违约金。</w:t>
      </w:r>
    </w:p>
    <w:p w14:paraId="23789EFC">
      <w:r>
        <w:rPr>
          <w:rFonts w:hint="eastAsia"/>
        </w:rPr>
        <w:t>3、乙方不能交付货物、完成安装调试的，乙方应向甲方支付合同总价5%的违约金。</w:t>
      </w:r>
    </w:p>
    <w:p w14:paraId="352E618E">
      <w:r>
        <w:rPr>
          <w:rFonts w:hint="eastAsia"/>
        </w:rPr>
        <w:t>4、乙方逾期交付的，每逾期1天，乙方向甲方偿付合同总额的5‰的滞纳金。如乙方逾期交付达10天，甲方有权解除合同，解除合同的通知自到达乙方时生效。</w:t>
      </w:r>
    </w:p>
    <w:p w14:paraId="59D2635A">
      <w:r>
        <w:rPr>
          <w:rFonts w:hint="eastAsia"/>
        </w:rPr>
        <w:t>5、在乙方承诺的质量保证期内，如经乙方两次维修或更换，货物仍不能达到合同约定的质量标准、运行效果的，甲方有权退货，乙方应退回全部货款，同时，乙方还须赔偿甲方因此遭受的损失。</w:t>
      </w:r>
    </w:p>
    <w:p w14:paraId="15D3758C">
      <w:pPr>
        <w:rPr>
          <w:b/>
        </w:rPr>
      </w:pPr>
      <w:r>
        <w:rPr>
          <w:rFonts w:hint="eastAsia"/>
        </w:rPr>
        <w:t>6、其他未尽事宜，以《中华人民共和国民法典》等有关法律法规规定为准，无相关规定的，双方协商解决。</w:t>
      </w:r>
    </w:p>
    <w:p w14:paraId="54855156">
      <w:r>
        <w:rPr>
          <w:rFonts w:hint="eastAsia"/>
        </w:rPr>
        <w:t>第十四条 不可抗力</w:t>
      </w:r>
    </w:p>
    <w:p w14:paraId="2AC51CED">
      <w:r>
        <w:rPr>
          <w:rFonts w:hint="eastAsia"/>
        </w:rPr>
        <w:t>甲、乙方中任何一方，因不可抗力不能按时或完全履行合同的 ，应及时通知对方，并在5个工作日内提供相应证明。未履行的部分是否继续履行、如何履行等问题，可由双方初步协商，并向主管部门和政府采购管理部门报告。确定为不可抗力原因造成的损失，免予承担责任。</w:t>
      </w:r>
    </w:p>
    <w:p w14:paraId="4E2876FF">
      <w:pPr>
        <w:pStyle w:val="44"/>
        <w:ind w:firstLine="480"/>
      </w:pPr>
      <w:r>
        <w:rPr>
          <w:rFonts w:hint="eastAsia"/>
        </w:rPr>
        <w:t>第十五条 索赔</w:t>
      </w:r>
    </w:p>
    <w:p w14:paraId="10486764">
      <w:r>
        <w:t>如在</w:t>
      </w:r>
      <w:r>
        <w:rPr>
          <w:rFonts w:hint="eastAsia"/>
        </w:rPr>
        <w:t>货物</w:t>
      </w:r>
      <w:r>
        <w:t>交付、使用过程中，甲方发现</w:t>
      </w:r>
      <w:r>
        <w:rPr>
          <w:rFonts w:hint="eastAsia"/>
        </w:rPr>
        <w:t>货物</w:t>
      </w:r>
      <w:r>
        <w:t>的品质与合同内容有不符</w:t>
      </w:r>
      <w:r>
        <w:rPr>
          <w:rFonts w:hint="eastAsia"/>
        </w:rPr>
        <w:t>或不满足国家标准或行业标准</w:t>
      </w:r>
      <w:r>
        <w:t>，有权向乙方提出索赔，乙方在收到甲方索赔通知后</w:t>
      </w:r>
      <w:r>
        <w:rPr>
          <w:rFonts w:hint="eastAsia"/>
          <w:u w:val="single"/>
        </w:rPr>
        <w:t>5</w:t>
      </w:r>
      <w:r>
        <w:t>天内应免费维修或弥补相应的缺陷。如果乙方在收到通知后</w:t>
      </w:r>
      <w:r>
        <w:rPr>
          <w:rFonts w:hint="eastAsia"/>
          <w:u w:val="single"/>
        </w:rPr>
        <w:t>5</w:t>
      </w:r>
      <w:r>
        <w:t>天内没有弥补缺陷，</w:t>
      </w:r>
      <w:r>
        <w:rPr>
          <w:rFonts w:hint="eastAsia"/>
        </w:rPr>
        <w:t>或不能弥补缺陷，</w:t>
      </w:r>
      <w:r>
        <w:t>甲方可采取必要的补救措施，但风险和费用将由乙方承担，同时甲方对乙方行使的其它权利不受影响。</w:t>
      </w:r>
      <w:r>
        <w:rPr>
          <w:rFonts w:hint="eastAsia"/>
        </w:rPr>
        <w:t>甲方因补救措施所承担的应由乙方承担的费用，有权在甲方应支付给乙方的款项中直接扣除或从乙方的履约保证金中予以扣除。</w:t>
      </w:r>
    </w:p>
    <w:p w14:paraId="6FD1FF35">
      <w:r>
        <w:rPr>
          <w:rFonts w:hint="eastAsia"/>
        </w:rPr>
        <w:t>第十六条 争议的解决</w:t>
      </w:r>
    </w:p>
    <w:p w14:paraId="6D30D44C">
      <w:r>
        <w:rPr>
          <w:rFonts w:hint="eastAsia"/>
        </w:rPr>
        <w:t>1、因货物的质量问题发生争议的，应当邀请国家认可的质量检测机构对货物质量进行鉴定。货物符合标准的，鉴定费由甲方承担；货物不符合质量标准的，鉴定费由乙方承担。</w:t>
      </w:r>
    </w:p>
    <w:p w14:paraId="4F979BCC">
      <w:r>
        <w:rPr>
          <w:rFonts w:hint="eastAsia"/>
        </w:rPr>
        <w:t>2、因履行本合同引起的或与本合同有关的争议，甲、乙双方应通过友好协商解决。</w:t>
      </w:r>
    </w:p>
    <w:p w14:paraId="6E708297">
      <w:r>
        <w:rPr>
          <w:rFonts w:hint="eastAsia"/>
        </w:rPr>
        <w:t>3、经协商不能解决的争议，双方可采取以下第（1）种方式解决争议：</w:t>
      </w:r>
    </w:p>
    <w:p w14:paraId="698E8FB9">
      <w:r>
        <w:rPr>
          <w:rFonts w:hint="eastAsia"/>
        </w:rPr>
        <w:t>（1）向项目所在地有管辖权的人民法院提起诉讼；</w:t>
      </w:r>
    </w:p>
    <w:p w14:paraId="7A40A6F9">
      <w:r>
        <w:rPr>
          <w:rFonts w:hint="eastAsia"/>
        </w:rPr>
        <w:t>（2）向项目所在地仲裁委员会按其仲裁规则申请仲裁。</w:t>
      </w:r>
    </w:p>
    <w:p w14:paraId="70BE31D2">
      <w:r>
        <w:rPr>
          <w:rFonts w:hint="eastAsia"/>
        </w:rPr>
        <w:t>4、在法院审理和仲裁期间，除有争议部分外，本合同其他部分可以履行的仍应按合同条款继续履行。</w:t>
      </w:r>
    </w:p>
    <w:p w14:paraId="4C417430">
      <w:r>
        <w:rPr>
          <w:rFonts w:hint="eastAsia"/>
        </w:rPr>
        <w:t>第十七条 合同生效及其他</w:t>
      </w:r>
    </w:p>
    <w:p w14:paraId="57659F5E">
      <w:r>
        <w:rPr>
          <w:rFonts w:hint="eastAsia"/>
        </w:rPr>
        <w:t>1、本合同自经甲乙双方授权代表签订并加盖公章后，自签订之日起生效。</w:t>
      </w:r>
    </w:p>
    <w:p w14:paraId="1563C9D5">
      <w:pPr>
        <w:rPr>
          <w:rFonts w:ascii="宋体"/>
          <w:dstrike/>
        </w:rPr>
      </w:pPr>
      <w:r>
        <w:rPr>
          <w:rFonts w:hint="eastAsia" w:ascii="宋体"/>
        </w:rPr>
        <w:t>2、</w:t>
      </w:r>
      <w:r>
        <w:t>本合同一式</w:t>
      </w:r>
      <w:r>
        <w:rPr>
          <w:rFonts w:hint="eastAsia"/>
        </w:rPr>
        <w:t>肆</w:t>
      </w:r>
      <w:r>
        <w:t>份，甲方</w:t>
      </w:r>
      <w:r>
        <w:rPr>
          <w:rFonts w:hint="eastAsia"/>
        </w:rPr>
        <w:t>贰</w:t>
      </w:r>
      <w:r>
        <w:t>份，乙方</w:t>
      </w:r>
      <w:r>
        <w:rPr>
          <w:rFonts w:hint="eastAsia"/>
        </w:rPr>
        <w:t>贰</w:t>
      </w:r>
      <w:r>
        <w:t>份</w:t>
      </w:r>
      <w:r>
        <w:rPr>
          <w:rFonts w:hint="eastAsia" w:ascii="宋体"/>
        </w:rPr>
        <w:t>。</w:t>
      </w:r>
    </w:p>
    <w:p w14:paraId="05A81F74">
      <w:r>
        <w:rPr>
          <w:rFonts w:hint="eastAsia"/>
        </w:rPr>
        <w:t>3、本合同应按照中华人民共和国的现行法律进行解释。</w:t>
      </w:r>
    </w:p>
    <w:p w14:paraId="5FF1728C"/>
    <w:p w14:paraId="1B79D429">
      <w:r>
        <w:rPr>
          <w:rFonts w:hint="eastAsia"/>
        </w:rPr>
        <w:t xml:space="preserve">甲方（采购人）：（盖章）         </w:t>
      </w:r>
      <w:r>
        <w:rPr>
          <w:rFonts w:hint="eastAsia"/>
        </w:rPr>
        <w:tab/>
      </w:r>
      <w:r>
        <w:rPr>
          <w:rFonts w:hint="eastAsia"/>
        </w:rPr>
        <w:t>乙方（供应商）：（盖章）</w:t>
      </w:r>
    </w:p>
    <w:p w14:paraId="573A1721">
      <w:r>
        <w:rPr>
          <w:rFonts w:hint="eastAsia"/>
        </w:rPr>
        <w:t>代表人：</w:t>
      </w:r>
      <w:r>
        <w:rPr>
          <w:rFonts w:hint="eastAsia"/>
        </w:rPr>
        <w:tab/>
      </w:r>
      <w:r>
        <w:rPr>
          <w:rFonts w:hint="eastAsia"/>
        </w:rPr>
        <w:t xml:space="preserve">                         代表人：</w:t>
      </w:r>
    </w:p>
    <w:p w14:paraId="036A9E62">
      <w:r>
        <w:rPr>
          <w:rFonts w:hint="eastAsia"/>
        </w:rPr>
        <w:t>电    话：</w:t>
      </w:r>
      <w:r>
        <w:rPr>
          <w:rFonts w:hint="eastAsia"/>
        </w:rPr>
        <w:tab/>
      </w:r>
      <w:r>
        <w:rPr>
          <w:rFonts w:hint="eastAsia"/>
        </w:rPr>
        <w:t xml:space="preserve">                     电    话：</w:t>
      </w:r>
    </w:p>
    <w:p w14:paraId="0BE7D562">
      <w:r>
        <w:rPr>
          <w:rFonts w:hint="eastAsia"/>
        </w:rPr>
        <w:t xml:space="preserve">开户银行：                     </w:t>
      </w:r>
      <w:r>
        <w:rPr>
          <w:rFonts w:hint="eastAsia"/>
        </w:rPr>
        <w:tab/>
      </w:r>
      <w:r>
        <w:rPr>
          <w:rFonts w:hint="eastAsia"/>
        </w:rPr>
        <w:t>开户银行：</w:t>
      </w:r>
    </w:p>
    <w:p w14:paraId="4BFEBC36">
      <w:r>
        <w:rPr>
          <w:rFonts w:hint="eastAsia"/>
        </w:rPr>
        <w:t xml:space="preserve">帐    号：                    </w:t>
      </w:r>
      <w:r>
        <w:rPr>
          <w:rFonts w:hint="eastAsia"/>
        </w:rPr>
        <w:tab/>
      </w:r>
      <w:r>
        <w:rPr>
          <w:rFonts w:hint="eastAsia"/>
        </w:rPr>
        <w:t xml:space="preserve">   帐    号：</w:t>
      </w:r>
    </w:p>
    <w:p w14:paraId="56AFC11B">
      <w:r>
        <w:rPr>
          <w:rFonts w:hint="eastAsia"/>
        </w:rPr>
        <w:t xml:space="preserve">   日期： 年 月 日                    日期：  年  月  日</w:t>
      </w:r>
    </w:p>
    <w:p w14:paraId="075BD79D"/>
    <w:p w14:paraId="59204AD8">
      <w:pPr>
        <w:pStyle w:val="188"/>
      </w:pPr>
      <w:r>
        <w:rPr>
          <w:rFonts w:hint="eastAsia"/>
        </w:rPr>
        <w:tab/>
      </w:r>
    </w:p>
    <w:p w14:paraId="31BCA04F">
      <w:r>
        <w:br w:type="page"/>
      </w:r>
    </w:p>
    <w:p w14:paraId="43433094">
      <w:pPr>
        <w:pStyle w:val="4"/>
        <w:ind w:firstLine="883"/>
      </w:pPr>
      <w:r>
        <w:rPr>
          <w:rFonts w:hint="eastAsia"/>
        </w:rPr>
        <w:t>第五章  采购需求</w:t>
      </w:r>
      <w:bookmarkEnd w:id="447"/>
    </w:p>
    <w:p w14:paraId="688FF043">
      <w:r>
        <w:rPr>
          <w:rFonts w:hint="eastAsia"/>
        </w:rPr>
        <w:t>一、项目清单</w:t>
      </w:r>
    </w:p>
    <w:p w14:paraId="0F4D85AA">
      <w:r>
        <w:rPr>
          <w:rFonts w:hint="eastAsia"/>
        </w:rPr>
        <w:t>详见附件</w:t>
      </w:r>
    </w:p>
    <w:p w14:paraId="4F4F757F">
      <w:r>
        <w:rPr>
          <w:rFonts w:hint="eastAsia"/>
        </w:rPr>
        <w:t>注：</w:t>
      </w:r>
    </w:p>
    <w:p w14:paraId="4E7BF30F">
      <w:r>
        <w:rPr>
          <w:rFonts w:hint="eastAsia"/>
        </w:rPr>
        <w:t>1、以上要求如涉及某产品的极个性化描述的，均不作为对投标产品的特定要求。</w:t>
      </w:r>
    </w:p>
    <w:p w14:paraId="28D12518">
      <w:r>
        <w:rPr>
          <w:rFonts w:hint="eastAsia"/>
        </w:rPr>
        <w:t>2、图片仅供参考，最终效果以实物为准；以上产品、报价及数量以完工验收后实际结算为准。</w:t>
      </w:r>
    </w:p>
    <w:p w14:paraId="37CD84B0">
      <w:r>
        <w:rPr>
          <w:rFonts w:hint="eastAsia"/>
        </w:rPr>
        <w:t>二、投标报价要求</w:t>
      </w:r>
    </w:p>
    <w:p w14:paraId="7FCBF267">
      <w:r>
        <w:rPr>
          <w:rFonts w:hint="eastAsia"/>
        </w:rPr>
        <w:t>1、投标人须对本项目中的所有内容进行投报，否则作无效投标处理。</w:t>
      </w:r>
    </w:p>
    <w:p w14:paraId="32B694D9">
      <w:r>
        <w:rPr>
          <w:rFonts w:hint="eastAsia"/>
        </w:rPr>
        <w:t>2、投标报价是指投标人应充分考虑为完成本项目可能发生的全部费用及利润和税金等包括设计费用、货物制造和服务所使用的材料和部件、备品备件、辅助材料、运输（包括包装、装卸、运输至指定地点的费用以及现场卸货及搬运至安装位置）、安装、调试、样品费用、售后服务费用、人工费、人员保险、服装费、材料费、管理费、招标代理费、咨询费、垃圾清运费、检测费、验收费、培训费、售后服务费、质保费、管理费、服务本身已支付或将支付的进口税、增值税、营业税和其他税费，以及其他交付使用方使用前的所有费用及政策性文件规定等各项应有费用，所有不可预见的全部相关费用（应充分考虑所有风险、责任等），招标文件未列明，而投标人认为必需的费用自行综合考虑到报价。招标文件中另有规定的除外。投标所报单价为最终结算单价，投标人不得再要求追加任何费用。同时，除非合同条款中另有规定，否则，投标单位所报单价在合同实施期间不因市场变化因素而变动。</w:t>
      </w:r>
    </w:p>
    <w:p w14:paraId="23033CAD">
      <w:r>
        <w:rPr>
          <w:rFonts w:hint="eastAsia"/>
        </w:rPr>
        <w:t>3、投标单位须具备独立完成本项目的能力，具有较强售后服务能力。因此各投标人可在投标前自行进行调研，了解项目情况及详细需求，但投标单位不得因此使招标单位承担有关的责任和蒙受损失。投标单位应承担前期调研的责任和风险。投标单位中标后，不得以不了解项目情况及详细需求为理由而向采购单位提出任何索赔的要求，对此采购单位不再承担任何责任。</w:t>
      </w:r>
    </w:p>
    <w:p w14:paraId="615B041E">
      <w:r>
        <w:rPr>
          <w:rFonts w:hint="eastAsia"/>
        </w:rPr>
        <w:t>三、供货要求：</w:t>
      </w:r>
    </w:p>
    <w:p w14:paraId="031337B0">
      <w:r>
        <w:rPr>
          <w:rFonts w:hint="eastAsia"/>
        </w:rPr>
        <w:t>1、供货期：合同签订后</w:t>
      </w:r>
      <w:r>
        <w:t>45</w:t>
      </w:r>
      <w:r>
        <w:rPr>
          <w:rFonts w:hint="eastAsia"/>
        </w:rPr>
        <w:t>日历天完成采购、安装及调试并经验收合格。</w:t>
      </w:r>
    </w:p>
    <w:p w14:paraId="2870CEA9">
      <w:r>
        <w:rPr>
          <w:rFonts w:hint="eastAsia"/>
        </w:rPr>
        <w:t>2、供货地点：由供方负责办理运输，直接送至需方指定地点，并负责安装、调试完毕。</w:t>
      </w:r>
    </w:p>
    <w:p w14:paraId="55D25B37">
      <w:r>
        <w:rPr>
          <w:rFonts w:hint="eastAsia"/>
        </w:rPr>
        <w:t>3、供货方式及状态：送货上门并按采购方需求配置到交货地点的各楼层对应区域，如果货物出现残缺或者配置区域不到位，需立即调换和补充人力安装配送，期间所产生的各种费用均由中标方承担，中标方不得推诿扯皮，所有货物必须按规定安装调试完毕，甲方和使用方将对投标人交付配送和安装调试的过程进行考核打分，作为验收依据。</w:t>
      </w:r>
    </w:p>
    <w:p w14:paraId="3E29C070">
      <w:r>
        <w:rPr>
          <w:rFonts w:hint="eastAsia"/>
        </w:rPr>
        <w:t>四、验收要求：</w:t>
      </w:r>
    </w:p>
    <w:p w14:paraId="716CEA23">
      <w:r>
        <w:rPr>
          <w:rFonts w:hint="eastAsia"/>
        </w:rPr>
        <w:t>1、验收时间：</w:t>
      </w:r>
      <w:r>
        <w:rPr>
          <w:rFonts w:hint="eastAsia"/>
          <w:u w:val="single"/>
        </w:rPr>
        <w:t>交货并完成安装调试后</w:t>
      </w:r>
      <w:r>
        <w:rPr>
          <w:u w:val="single"/>
        </w:rPr>
        <w:t>10个工作日</w:t>
      </w:r>
      <w:r>
        <w:rPr>
          <w:rFonts w:hint="eastAsia"/>
          <w:u w:val="single"/>
        </w:rPr>
        <w:t>内</w:t>
      </w:r>
      <w:r>
        <w:rPr>
          <w:rFonts w:hint="eastAsia"/>
        </w:rPr>
        <w:t>。</w:t>
      </w:r>
    </w:p>
    <w:p w14:paraId="2C948FD3">
      <w:r>
        <w:rPr>
          <w:rFonts w:hint="eastAsia"/>
        </w:rPr>
        <w:t>2、验收内容：</w:t>
      </w:r>
      <w:r>
        <w:rPr>
          <w:rFonts w:hint="eastAsia"/>
          <w:u w:val="single"/>
        </w:rPr>
        <w:t>所有货物和附配件应符合其规定的性能，无瑕疵和缺陷，质量为合格品。按采购方需求配置到交货地点各楼层对应区域，如质量不符合采购要求，中标方应在15天内无条件更换。若逾期仍无法提供合格产品的，采购方有权终止合同</w:t>
      </w:r>
      <w:r>
        <w:rPr>
          <w:rFonts w:hint="eastAsia"/>
        </w:rPr>
        <w:t xml:space="preserve">。 </w:t>
      </w:r>
    </w:p>
    <w:p w14:paraId="1B2FAF63">
      <w:r>
        <w:rPr>
          <w:rFonts w:hint="eastAsia"/>
        </w:rPr>
        <w:t>五、售后服务要求：</w:t>
      </w:r>
    </w:p>
    <w:p w14:paraId="421E9CEC">
      <w:r>
        <w:rPr>
          <w:rFonts w:hint="eastAsia"/>
        </w:rPr>
        <w:t>1、质保期：产品验收合格（以双方在验收报告签订日期为准），提供</w:t>
      </w:r>
      <w:r>
        <w:rPr>
          <w:u w:val="single"/>
        </w:rPr>
        <w:t>(以乙方投标承诺时间为准)</w:t>
      </w:r>
      <w:r>
        <w:rPr>
          <w:rFonts w:hint="eastAsia"/>
        </w:rPr>
        <w:t>年全免费质保服务。免费质保期内，除人为损坏和不可抗拒因素外，中标人对物品进行免费维修或更换。</w:t>
      </w:r>
    </w:p>
    <w:p w14:paraId="491E0FC7">
      <w:r>
        <w:rPr>
          <w:rFonts w:hint="eastAsia"/>
        </w:rPr>
        <w:t>2、服务响应：</w:t>
      </w:r>
      <w:r>
        <w:rPr>
          <w:rFonts w:hint="eastAsia"/>
          <w:u w:val="single"/>
        </w:rPr>
        <w:t>中标人在接到采购人维修要求后，必须在2小时内对采购人所提出的维修要求作出响应，6小时内到达维修现场，并在最短时间内修复完毕，如无法当场维修则 12 小时内提出解决方案，否则由于故障造成的全部损失中标人承担</w:t>
      </w:r>
      <w:r>
        <w:rPr>
          <w:rFonts w:hint="eastAsia"/>
        </w:rPr>
        <w:t>。</w:t>
      </w:r>
    </w:p>
    <w:p w14:paraId="71919034">
      <w:r>
        <w:rPr>
          <w:rFonts w:hint="eastAsia"/>
        </w:rPr>
        <w:t>3、中标单位应按其投标文件中的承诺，进行其他售后服务工作。</w:t>
      </w:r>
    </w:p>
    <w:p w14:paraId="0EE339F1">
      <w:r>
        <w:rPr>
          <w:rFonts w:hint="eastAsia"/>
        </w:rPr>
        <w:t>六、付款方式：</w:t>
      </w:r>
    </w:p>
    <w:p w14:paraId="2E443A48">
      <w:r>
        <w:rPr>
          <w:rFonts w:hint="eastAsia"/>
        </w:rPr>
        <w:t>详见须知前附表。</w:t>
      </w:r>
    </w:p>
    <w:p w14:paraId="3602FA6D">
      <w:r>
        <w:rPr>
          <w:rFonts w:hint="eastAsia"/>
        </w:rPr>
        <w:t>注：按以上付款进度，无任何利息补偿。</w:t>
      </w:r>
    </w:p>
    <w:p w14:paraId="72A2E5E0">
      <w:r>
        <w:rPr>
          <w:rFonts w:hint="eastAsia"/>
        </w:rPr>
        <w:t>七、凡涉及招标文件的补充说明和修改，均以大丰公共资源交易平台发布的内容为准。</w:t>
      </w:r>
    </w:p>
    <w:p w14:paraId="45329A11">
      <w:r>
        <w:rPr>
          <w:rFonts w:hint="eastAsia"/>
        </w:rPr>
        <w:t>八、综合说明</w:t>
      </w:r>
    </w:p>
    <w:p w14:paraId="5D1A1721">
      <w:r>
        <w:rPr>
          <w:rFonts w:hint="eastAsia"/>
        </w:rPr>
        <w:t>1、投标人必须按招标文件技术规格逐项做出实质性应答，涉及产品结构原理及功能配置、软件功能等条款，投标人还需提供相关图纸或图片资料予以说明。标书中的任何偏差都必须列入投标文件中的偏差表。任何不按此要求的投标文件将承担被拒绝接受的风险。中标后，中标方在合同谈判中的任何偏差都不得超越此偏差表中已被采购方确认的条款。所有应答均不得完全照抄、复制招标文件所列条款、指标和参数。非量化指标可以直接进行应答，量化指标必须应答具体数值。采购单位有保留最终产品测试的权利。若发现有虚假应标，取消投标资格，并承担相应责任。</w:t>
      </w:r>
    </w:p>
    <w:p w14:paraId="15657E18">
      <w:r>
        <w:t>合同签订后，供货商须在合同签约后</w:t>
      </w:r>
      <w:r>
        <w:rPr>
          <w:rFonts w:hint="eastAsia"/>
        </w:rPr>
        <w:t>1</w:t>
      </w:r>
      <w:r>
        <w:t>0日内向采购方提供样品，经采购方同意后方可组织供货，供货商未能在合同签约后</w:t>
      </w:r>
      <w:r>
        <w:rPr>
          <w:rFonts w:hint="eastAsia"/>
        </w:rPr>
        <w:t>1</w:t>
      </w:r>
      <w:r>
        <w:t>0日内向采购方提供样品或提供的样品不符合采购方要求的，采购方可单方面解除合同，由此引起的责任、后果由供货方承担</w:t>
      </w:r>
      <w:r>
        <w:rPr>
          <w:rFonts w:hint="eastAsia"/>
        </w:rPr>
        <w:t>。</w:t>
      </w:r>
    </w:p>
    <w:p w14:paraId="039B6CDE">
      <w:r>
        <w:rPr>
          <w:rFonts w:hint="eastAsia"/>
        </w:rPr>
        <w:t>2、所编制的技术文件应能满足系统进行所需的安装调试、操作使用及维护管理等所有设备的详细技术资料。</w:t>
      </w:r>
    </w:p>
    <w:p w14:paraId="6D946A6C">
      <w:r>
        <w:rPr>
          <w:rFonts w:hint="eastAsia"/>
        </w:rPr>
        <w:t>3、知识产权：中标方应保证采购方免除且中标方承担由于采购方在其本国使用本次招标的软件或设备或设备任何一部分时而引起第三方提出的侵犯专利权、商标权或工业设计权的起诉、行动、行政程序索赔、请求等以及采购方为此而产生的损失和损害、费用和支出（包括律师费）。</w:t>
      </w:r>
    </w:p>
    <w:p w14:paraId="09B39D10">
      <w:r>
        <w:t>4</w:t>
      </w:r>
      <w:r>
        <w:rPr>
          <w:rFonts w:hint="eastAsia"/>
        </w:rPr>
        <w:t>、投标单位必须保证全部投标资料的真实性，如有虚假或对招标文件所要求说明的情况故意隐瞒或虚报，视为不实质性响应招标文件，为无效投标。已中标的将取消中标资格，并按《中华人民共和国政府采购法》第七十七条“提供虚假材料谋取中标、成交”相关处理办法处理。</w:t>
      </w:r>
    </w:p>
    <w:p w14:paraId="2587F247">
      <w:pPr>
        <w:pStyle w:val="20"/>
        <w:ind w:firstLine="372"/>
      </w:pPr>
    </w:p>
    <w:p w14:paraId="37158C56">
      <w:pPr>
        <w:pStyle w:val="20"/>
        <w:ind w:firstLine="372"/>
      </w:pPr>
    </w:p>
    <w:p w14:paraId="34C43000">
      <w:pPr>
        <w:pStyle w:val="4"/>
        <w:ind w:firstLine="883"/>
      </w:pPr>
      <w:bookmarkStart w:id="448" w:name="_Toc12016"/>
      <w:r>
        <w:rPr>
          <w:rFonts w:hint="eastAsia"/>
        </w:rPr>
        <w:br w:type="page"/>
      </w:r>
      <w:r>
        <w:rPr>
          <w:rFonts w:hint="eastAsia"/>
        </w:rPr>
        <w:t>第六章  投标文件格式</w:t>
      </w:r>
      <w:bookmarkEnd w:id="444"/>
      <w:bookmarkEnd w:id="445"/>
      <w:bookmarkEnd w:id="446"/>
      <w:bookmarkEnd w:id="448"/>
    </w:p>
    <w:p w14:paraId="781F93D7">
      <w:r>
        <w:rPr>
          <w:rFonts w:hint="eastAsia"/>
        </w:rPr>
        <w:t>（本章仅提供有格式要求的材料模版，具体投标文件组成不限于以下材料，投标人需按“投标人须知”章节中“投标文件”的具体要求编制投标文件）</w:t>
      </w:r>
    </w:p>
    <w:p w14:paraId="33B2AA2C">
      <w:pPr>
        <w:spacing w:line="240" w:lineRule="auto"/>
        <w:ind w:firstLine="0" w:firstLineChars="0"/>
        <w:outlineLvl w:val="0"/>
        <w:rPr>
          <w:rFonts w:ascii="宋体" w:hAnsi="宋体"/>
          <w:b/>
          <w:sz w:val="32"/>
          <w:szCs w:val="24"/>
        </w:rPr>
      </w:pPr>
      <w:r>
        <w:rPr>
          <w:rFonts w:cs="宋体"/>
          <w:sz w:val="24"/>
        </w:rPr>
        <w:br w:type="page"/>
      </w:r>
      <w:bookmarkStart w:id="449" w:name="_Toc445475396"/>
      <w:bookmarkStart w:id="450" w:name="_Toc508216955"/>
      <w:bookmarkStart w:id="451" w:name="_Toc397928631"/>
      <w:bookmarkStart w:id="452" w:name="_Toc9478"/>
      <w:r>
        <w:rPr>
          <w:rStyle w:val="75"/>
          <w:rFonts w:hint="eastAsia" w:ascii="宋体" w:hAnsi="宋体"/>
        </w:rPr>
        <w:t>封面</w:t>
      </w:r>
      <w:bookmarkEnd w:id="449"/>
      <w:bookmarkEnd w:id="450"/>
      <w:bookmarkEnd w:id="451"/>
      <w:bookmarkEnd w:id="452"/>
    </w:p>
    <w:p w14:paraId="3C189DE4">
      <w:pPr>
        <w:ind w:firstLine="0" w:firstLineChars="0"/>
        <w:jc w:val="center"/>
        <w:rPr>
          <w:rFonts w:ascii="宋体" w:hAnsi="宋体"/>
          <w:b/>
          <w:sz w:val="32"/>
          <w:szCs w:val="24"/>
        </w:rPr>
      </w:pPr>
    </w:p>
    <w:p w14:paraId="3BDC51CC">
      <w:pPr>
        <w:spacing w:line="240" w:lineRule="auto"/>
        <w:ind w:firstLine="0" w:firstLineChars="0"/>
        <w:jc w:val="center"/>
        <w:rPr>
          <w:rFonts w:ascii="宋体" w:hAnsi="宋体"/>
          <w:sz w:val="44"/>
          <w:szCs w:val="44"/>
        </w:rPr>
      </w:pPr>
      <w:r>
        <w:rPr>
          <w:rFonts w:hint="eastAsia" w:ascii="宋体" w:hAnsi="宋体"/>
          <w:sz w:val="44"/>
          <w:szCs w:val="44"/>
        </w:rPr>
        <w:t xml:space="preserve"> </w:t>
      </w:r>
    </w:p>
    <w:p w14:paraId="63B8D8C3">
      <w:pPr>
        <w:spacing w:line="240" w:lineRule="auto"/>
        <w:ind w:firstLine="0" w:firstLineChars="0"/>
        <w:jc w:val="center"/>
        <w:outlineLvl w:val="0"/>
        <w:rPr>
          <w:rFonts w:ascii="宋体" w:hAnsi="宋体"/>
          <w:sz w:val="44"/>
          <w:szCs w:val="44"/>
        </w:rPr>
      </w:pPr>
      <w:r>
        <w:rPr>
          <w:rFonts w:hint="eastAsia" w:ascii="宋体" w:hAnsi="宋体"/>
          <w:sz w:val="44"/>
          <w:szCs w:val="44"/>
          <w:u w:val="single"/>
        </w:rPr>
        <w:t xml:space="preserve"> </w:t>
      </w:r>
      <w:bookmarkStart w:id="453" w:name="_Toc32562"/>
      <w:r>
        <w:rPr>
          <w:rFonts w:hint="eastAsia" w:ascii="宋体" w:hAnsi="宋体"/>
          <w:sz w:val="44"/>
          <w:szCs w:val="44"/>
          <w:u w:val="single"/>
        </w:rPr>
        <w:t xml:space="preserve">（项目名称及标段）   </w:t>
      </w:r>
      <w:r>
        <w:rPr>
          <w:rFonts w:hint="eastAsia" w:ascii="宋体" w:hAnsi="宋体"/>
          <w:sz w:val="44"/>
          <w:szCs w:val="44"/>
        </w:rPr>
        <w:t>招标</w:t>
      </w:r>
      <w:bookmarkEnd w:id="453"/>
    </w:p>
    <w:p w14:paraId="1244939A">
      <w:pPr>
        <w:ind w:firstLine="0" w:firstLineChars="0"/>
        <w:jc w:val="center"/>
        <w:rPr>
          <w:rFonts w:ascii="宋体" w:hAnsi="宋体"/>
          <w:sz w:val="28"/>
          <w:szCs w:val="28"/>
        </w:rPr>
      </w:pPr>
    </w:p>
    <w:p w14:paraId="00851144">
      <w:pPr>
        <w:ind w:firstLine="0" w:firstLineChars="0"/>
        <w:jc w:val="center"/>
        <w:rPr>
          <w:rFonts w:ascii="宋体" w:hAnsi="宋体"/>
          <w:sz w:val="28"/>
          <w:szCs w:val="28"/>
        </w:rPr>
      </w:pPr>
    </w:p>
    <w:p w14:paraId="4453EEB0">
      <w:pPr>
        <w:ind w:firstLine="0" w:firstLineChars="0"/>
        <w:jc w:val="center"/>
        <w:rPr>
          <w:rFonts w:ascii="宋体" w:hAnsi="宋体"/>
          <w:sz w:val="72"/>
          <w:szCs w:val="72"/>
        </w:rPr>
      </w:pPr>
    </w:p>
    <w:p w14:paraId="642712A8">
      <w:pPr>
        <w:ind w:firstLine="0" w:firstLineChars="0"/>
        <w:jc w:val="center"/>
        <w:outlineLvl w:val="0"/>
        <w:rPr>
          <w:rFonts w:ascii="宋体" w:hAnsi="宋体"/>
          <w:sz w:val="96"/>
          <w:szCs w:val="96"/>
        </w:rPr>
      </w:pPr>
      <w:bookmarkStart w:id="454" w:name="_Toc4761"/>
      <w:r>
        <w:rPr>
          <w:rFonts w:hint="eastAsia" w:ascii="宋体" w:hAnsi="宋体"/>
          <w:sz w:val="96"/>
          <w:szCs w:val="96"/>
        </w:rPr>
        <w:t>投 标 文 件</w:t>
      </w:r>
      <w:bookmarkEnd w:id="454"/>
    </w:p>
    <w:p w14:paraId="219E9526">
      <w:pPr>
        <w:ind w:firstLine="0" w:firstLineChars="0"/>
        <w:jc w:val="center"/>
        <w:rPr>
          <w:rFonts w:ascii="宋体" w:hAnsi="宋体"/>
          <w:sz w:val="28"/>
          <w:szCs w:val="28"/>
        </w:rPr>
      </w:pPr>
    </w:p>
    <w:p w14:paraId="186A0A40">
      <w:pPr>
        <w:ind w:firstLine="0" w:firstLineChars="0"/>
        <w:jc w:val="center"/>
        <w:outlineLvl w:val="0"/>
        <w:rPr>
          <w:rFonts w:ascii="宋体" w:hAnsi="宋体"/>
          <w:sz w:val="28"/>
          <w:szCs w:val="28"/>
        </w:rPr>
      </w:pPr>
      <w:bookmarkStart w:id="455" w:name="_Toc11537"/>
      <w:r>
        <w:rPr>
          <w:rFonts w:hint="eastAsia" w:ascii="宋体" w:hAnsi="宋体"/>
          <w:sz w:val="28"/>
          <w:szCs w:val="28"/>
        </w:rPr>
        <w:t>项目编号：</w:t>
      </w:r>
      <w:bookmarkEnd w:id="455"/>
      <w:r>
        <w:rPr>
          <w:rFonts w:hint="eastAsia" w:ascii="宋体" w:hAnsi="宋体"/>
          <w:sz w:val="28"/>
          <w:szCs w:val="28"/>
        </w:rPr>
        <w:t xml:space="preserve"> </w:t>
      </w:r>
    </w:p>
    <w:p w14:paraId="38A3694B">
      <w:pPr>
        <w:ind w:firstLine="0" w:firstLineChars="0"/>
        <w:jc w:val="center"/>
        <w:rPr>
          <w:rFonts w:ascii="宋体" w:hAnsi="宋体"/>
          <w:sz w:val="28"/>
          <w:szCs w:val="28"/>
        </w:rPr>
      </w:pPr>
    </w:p>
    <w:p w14:paraId="0FC0914C">
      <w:pPr>
        <w:ind w:firstLine="0" w:firstLineChars="0"/>
        <w:jc w:val="center"/>
        <w:rPr>
          <w:rFonts w:ascii="宋体" w:hAnsi="宋体"/>
          <w:sz w:val="28"/>
          <w:szCs w:val="28"/>
        </w:rPr>
      </w:pPr>
    </w:p>
    <w:p w14:paraId="7C6B2831">
      <w:pPr>
        <w:ind w:firstLine="0" w:firstLineChars="0"/>
        <w:jc w:val="center"/>
        <w:rPr>
          <w:rFonts w:ascii="宋体" w:hAnsi="宋体"/>
          <w:sz w:val="28"/>
          <w:szCs w:val="28"/>
        </w:rPr>
      </w:pPr>
    </w:p>
    <w:p w14:paraId="38E6D989">
      <w:pPr>
        <w:ind w:firstLine="0" w:firstLineChars="0"/>
        <w:jc w:val="center"/>
        <w:rPr>
          <w:rFonts w:ascii="宋体" w:hAnsi="宋体"/>
          <w:sz w:val="28"/>
          <w:szCs w:val="28"/>
        </w:rPr>
      </w:pPr>
    </w:p>
    <w:p w14:paraId="07CF0F25">
      <w:pPr>
        <w:ind w:firstLine="0" w:firstLineChars="0"/>
        <w:jc w:val="center"/>
        <w:rPr>
          <w:rFonts w:ascii="宋体" w:hAnsi="宋体"/>
          <w:sz w:val="28"/>
          <w:szCs w:val="28"/>
        </w:rPr>
      </w:pPr>
    </w:p>
    <w:p w14:paraId="317DA1D2">
      <w:pPr>
        <w:ind w:firstLine="0" w:firstLineChars="0"/>
        <w:jc w:val="center"/>
        <w:rPr>
          <w:rFonts w:ascii="宋体" w:hAnsi="宋体"/>
          <w:sz w:val="28"/>
          <w:szCs w:val="28"/>
        </w:rPr>
      </w:pPr>
    </w:p>
    <w:p w14:paraId="239D8620">
      <w:pPr>
        <w:ind w:firstLine="0" w:firstLineChars="0"/>
        <w:jc w:val="center"/>
        <w:rPr>
          <w:rFonts w:ascii="宋体" w:hAnsi="宋体"/>
          <w:sz w:val="28"/>
          <w:szCs w:val="28"/>
        </w:rPr>
      </w:pPr>
    </w:p>
    <w:p w14:paraId="226DA728">
      <w:pPr>
        <w:ind w:firstLine="708" w:firstLineChars="253"/>
        <w:jc w:val="left"/>
        <w:outlineLvl w:val="0"/>
        <w:rPr>
          <w:rFonts w:ascii="宋体" w:hAnsi="宋体"/>
          <w:sz w:val="28"/>
          <w:szCs w:val="28"/>
          <w:u w:val="single"/>
        </w:rPr>
      </w:pPr>
      <w:bookmarkStart w:id="456" w:name="_Toc28754"/>
      <w:r>
        <w:rPr>
          <w:rFonts w:hint="eastAsia" w:ascii="宋体" w:hAnsi="宋体"/>
          <w:sz w:val="28"/>
          <w:szCs w:val="28"/>
        </w:rPr>
        <w:t>投标人（盖章）：</w:t>
      </w:r>
      <w:bookmarkEnd w:id="456"/>
      <w:r>
        <w:rPr>
          <w:rFonts w:hint="eastAsia" w:ascii="宋体" w:hAnsi="宋体"/>
          <w:sz w:val="28"/>
          <w:szCs w:val="28"/>
          <w:u w:val="single"/>
        </w:rPr>
        <w:t xml:space="preserve">                                </w:t>
      </w:r>
    </w:p>
    <w:p w14:paraId="122AEBFE">
      <w:pPr>
        <w:ind w:firstLine="700" w:firstLineChars="250"/>
        <w:jc w:val="left"/>
        <w:outlineLvl w:val="0"/>
        <w:rPr>
          <w:rFonts w:ascii="宋体" w:hAnsi="宋体"/>
          <w:sz w:val="28"/>
          <w:szCs w:val="28"/>
        </w:rPr>
      </w:pPr>
      <w:bookmarkStart w:id="457" w:name="_Toc31873"/>
      <w:r>
        <w:rPr>
          <w:rFonts w:hint="eastAsia" w:ascii="宋体" w:hAnsi="宋体"/>
          <w:sz w:val="28"/>
          <w:szCs w:val="28"/>
        </w:rPr>
        <w:t>日期：</w:t>
      </w: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457"/>
    </w:p>
    <w:p w14:paraId="28915612">
      <w:pPr>
        <w:ind w:firstLine="0" w:firstLineChars="0"/>
        <w:jc w:val="left"/>
        <w:rPr>
          <w:rFonts w:ascii="宋体" w:hAnsi="宋体"/>
          <w:szCs w:val="24"/>
        </w:rPr>
      </w:pPr>
    </w:p>
    <w:p w14:paraId="6FC15CE4"/>
    <w:p w14:paraId="3C02E6F1">
      <w:pPr>
        <w:snapToGrid w:val="0"/>
        <w:spacing w:before="120" w:after="120" w:line="460" w:lineRule="exact"/>
        <w:ind w:firstLine="480"/>
        <w:jc w:val="left"/>
        <w:rPr>
          <w:rFonts w:ascii="宋体" w:hAnsi="宋体" w:cs="Angsana New"/>
          <w:sz w:val="24"/>
          <w:szCs w:val="24"/>
          <w:lang w:bidi="th-TH"/>
        </w:rPr>
      </w:pPr>
      <w:r>
        <w:rPr>
          <w:rFonts w:hint="eastAsia" w:ascii="宋体" w:hAnsi="宋体"/>
          <w:sz w:val="24"/>
          <w:szCs w:val="24"/>
        </w:rPr>
        <w:t>格式一：</w:t>
      </w:r>
    </w:p>
    <w:p w14:paraId="7EFCF7DF">
      <w:pPr>
        <w:snapToGrid w:val="0"/>
        <w:spacing w:before="120" w:after="120" w:line="460" w:lineRule="exact"/>
        <w:ind w:firstLine="562"/>
        <w:jc w:val="center"/>
        <w:rPr>
          <w:rFonts w:ascii="宋体" w:hAnsi="宋体"/>
          <w:b/>
          <w:sz w:val="28"/>
          <w:szCs w:val="28"/>
        </w:rPr>
      </w:pPr>
    </w:p>
    <w:p w14:paraId="431B9DD2">
      <w:pPr>
        <w:snapToGrid w:val="0"/>
        <w:spacing w:before="120" w:after="120" w:line="460" w:lineRule="exact"/>
        <w:ind w:firstLine="562"/>
        <w:jc w:val="center"/>
        <w:outlineLvl w:val="0"/>
        <w:rPr>
          <w:rFonts w:ascii="宋体" w:hAnsi="宋体" w:cs="Angsana New"/>
          <w:sz w:val="28"/>
          <w:szCs w:val="20"/>
          <w:lang w:bidi="th-TH"/>
        </w:rPr>
      </w:pPr>
      <w:bookmarkStart w:id="458" w:name="_Toc27732"/>
      <w:r>
        <w:rPr>
          <w:rFonts w:hint="eastAsia" w:ascii="宋体" w:hAnsi="宋体"/>
          <w:b/>
          <w:sz w:val="28"/>
          <w:szCs w:val="28"/>
        </w:rPr>
        <w:t>投标人的法定代表人身份证明书</w:t>
      </w:r>
      <w:bookmarkEnd w:id="458"/>
    </w:p>
    <w:p w14:paraId="1050917D">
      <w:pPr>
        <w:snapToGrid w:val="0"/>
        <w:spacing w:before="120" w:after="120" w:line="46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单位名称：</w:t>
      </w:r>
      <w:r>
        <w:rPr>
          <w:rFonts w:hint="eastAsia" w:ascii="宋体" w:hAnsi="宋体" w:cs="Angsana New"/>
          <w:sz w:val="24"/>
          <w:szCs w:val="24"/>
          <w:u w:val="single"/>
          <w:lang w:bidi="th-TH"/>
        </w:rPr>
        <w:t xml:space="preserve">                                  </w:t>
      </w:r>
    </w:p>
    <w:p w14:paraId="1B93139E">
      <w:pPr>
        <w:snapToGrid w:val="0"/>
        <w:spacing w:before="120" w:after="120" w:line="46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单位性质：</w:t>
      </w:r>
      <w:r>
        <w:rPr>
          <w:rFonts w:hint="eastAsia" w:ascii="宋体" w:hAnsi="宋体" w:cs="Angsana New"/>
          <w:sz w:val="24"/>
          <w:szCs w:val="24"/>
          <w:u w:val="single"/>
          <w:lang w:bidi="th-TH"/>
        </w:rPr>
        <w:t xml:space="preserve">                                 </w:t>
      </w:r>
    </w:p>
    <w:p w14:paraId="12A8F5A3">
      <w:pPr>
        <w:snapToGrid w:val="0"/>
        <w:spacing w:before="120" w:after="120" w:line="46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地址：</w:t>
      </w:r>
      <w:r>
        <w:rPr>
          <w:rFonts w:hint="eastAsia" w:ascii="宋体" w:hAnsi="宋体" w:cs="Angsana New"/>
          <w:sz w:val="24"/>
          <w:szCs w:val="24"/>
          <w:u w:val="single"/>
          <w:lang w:bidi="th-TH"/>
        </w:rPr>
        <w:t xml:space="preserve">                                     </w:t>
      </w:r>
    </w:p>
    <w:p w14:paraId="0341CEC7">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成立时间：</w:t>
      </w:r>
      <w:r>
        <w:rPr>
          <w:rFonts w:hint="eastAsia" w:ascii="宋体" w:hAnsi="宋体" w:cs="Angsana New"/>
          <w:sz w:val="24"/>
          <w:szCs w:val="24"/>
          <w:u w:val="single"/>
          <w:lang w:bidi="th-TH"/>
        </w:rPr>
        <w:t xml:space="preserve">       年    月      日</w:t>
      </w:r>
    </w:p>
    <w:p w14:paraId="50B27666">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经营期限：</w:t>
      </w:r>
      <w:r>
        <w:rPr>
          <w:rFonts w:hint="eastAsia" w:ascii="宋体" w:hAnsi="宋体" w:cs="Angsana New"/>
          <w:sz w:val="24"/>
          <w:szCs w:val="24"/>
          <w:u w:val="single"/>
          <w:lang w:bidi="th-TH"/>
        </w:rPr>
        <w:t xml:space="preserve">                                  </w:t>
      </w:r>
    </w:p>
    <w:p w14:paraId="56FE4D86">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 xml:space="preserve">姓名： </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性别：</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 xml:space="preserve"> 年龄： </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职务：</w:t>
      </w:r>
      <w:r>
        <w:rPr>
          <w:rFonts w:hint="eastAsia" w:ascii="宋体" w:hAnsi="宋体" w:cs="Angsana New"/>
          <w:sz w:val="24"/>
          <w:szCs w:val="24"/>
          <w:u w:val="single"/>
          <w:lang w:bidi="th-TH"/>
        </w:rPr>
        <w:t xml:space="preserve">      </w:t>
      </w:r>
    </w:p>
    <w:p w14:paraId="0AE608AB">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系</w:t>
      </w:r>
      <w:r>
        <w:rPr>
          <w:rFonts w:hint="eastAsia" w:ascii="宋体" w:hAnsi="宋体" w:cs="Angsana New"/>
          <w:sz w:val="24"/>
          <w:szCs w:val="24"/>
          <w:u w:val="single"/>
          <w:lang w:bidi="th-TH"/>
        </w:rPr>
        <w:t>（投标人）</w:t>
      </w:r>
      <w:r>
        <w:rPr>
          <w:rFonts w:hint="eastAsia" w:ascii="宋体" w:hAnsi="宋体" w:cs="Angsana New"/>
          <w:sz w:val="24"/>
          <w:szCs w:val="24"/>
          <w:lang w:bidi="th-TH"/>
        </w:rPr>
        <w:t>的法定代表人。</w:t>
      </w:r>
    </w:p>
    <w:p w14:paraId="4F77720D">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特此证明。</w:t>
      </w:r>
    </w:p>
    <w:p w14:paraId="59A5F4BC">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rPr>
        <mc:AlternateContent>
          <mc:Choice Requires="wps">
            <w:drawing>
              <wp:anchor distT="0" distB="0" distL="114300" distR="114300" simplePos="0" relativeHeight="251660288" behindDoc="0" locked="0" layoutInCell="1" allowOverlap="1">
                <wp:simplePos x="0" y="0"/>
                <wp:positionH relativeFrom="column">
                  <wp:posOffset>19685</wp:posOffset>
                </wp:positionH>
                <wp:positionV relativeFrom="paragraph">
                  <wp:posOffset>113030</wp:posOffset>
                </wp:positionV>
                <wp:extent cx="1943100" cy="1089660"/>
                <wp:effectExtent l="5080" t="4445" r="13970" b="10795"/>
                <wp:wrapNone/>
                <wp:docPr id="3" name="矩形 3"/>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CD69E56">
                            <w:pPr>
                              <w:spacing w:line="240" w:lineRule="auto"/>
                              <w:ind w:firstLine="0" w:firstLineChars="0"/>
                              <w:jc w:val="center"/>
                              <w:rPr>
                                <w:rFonts w:ascii="宋体" w:hAnsi="宋体"/>
                                <w:sz w:val="24"/>
                                <w:szCs w:val="24"/>
                              </w:rPr>
                            </w:pPr>
                          </w:p>
                          <w:p w14:paraId="7FC32A48">
                            <w:pPr>
                              <w:spacing w:line="240" w:lineRule="auto"/>
                              <w:ind w:firstLine="0" w:firstLineChars="0"/>
                              <w:jc w:val="center"/>
                              <w:rPr>
                                <w:rFonts w:ascii="宋体" w:hAnsi="宋体"/>
                                <w:sz w:val="24"/>
                                <w:szCs w:val="24"/>
                              </w:rPr>
                            </w:pPr>
                            <w:r>
                              <w:rPr>
                                <w:rFonts w:hint="eastAsia" w:ascii="宋体" w:hAnsi="宋体"/>
                                <w:sz w:val="24"/>
                                <w:szCs w:val="24"/>
                              </w:rPr>
                              <w:t>法定代表人身份证复印于此</w:t>
                            </w:r>
                          </w:p>
                        </w:txbxContent>
                      </wps:txbx>
                      <wps:bodyPr upright="1"/>
                    </wps:wsp>
                  </a:graphicData>
                </a:graphic>
              </wp:anchor>
            </w:drawing>
          </mc:Choice>
          <mc:Fallback>
            <w:pict>
              <v:rect id="_x0000_s1026" o:spid="_x0000_s1026" o:spt="1" style="position:absolute;left:0pt;margin-left:1.55pt;margin-top:8.9pt;height:85.8pt;width:153pt;z-index:251660288;mso-width-relative:page;mso-height-relative:page;" fillcolor="#FFFFFF" filled="t" stroked="t" coordsize="21600,21600" o:gfxdata="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AG5q/VAAAACAEAAA8AAAAAAAAAAQAgAAAAIgAAAGRycy9k&#10;b3ducmV2LnhtbFBLAQIUABQAAAAIAIdO4kDyK7CkBQIAACoEAAAOAAAAAAAAAAEAIAAAACQBAABk&#10;cnMvZTJvRG9jLnhtbFBLBQYAAAAABgAGAFkBAACbBQAAAAA=&#10;">
                <v:fill on="t" focussize="0,0"/>
                <v:stroke color="#000000" joinstyle="miter"/>
                <v:imagedata o:title=""/>
                <o:lock v:ext="edit" aspectratio="f"/>
                <v:textbox>
                  <w:txbxContent>
                    <w:p w14:paraId="2CD69E56">
                      <w:pPr>
                        <w:spacing w:line="240" w:lineRule="auto"/>
                        <w:ind w:firstLine="0" w:firstLineChars="0"/>
                        <w:jc w:val="center"/>
                        <w:rPr>
                          <w:rFonts w:ascii="宋体" w:hAnsi="宋体"/>
                          <w:sz w:val="24"/>
                          <w:szCs w:val="24"/>
                        </w:rPr>
                      </w:pPr>
                    </w:p>
                    <w:p w14:paraId="7FC32A48">
                      <w:pPr>
                        <w:spacing w:line="240" w:lineRule="auto"/>
                        <w:ind w:firstLine="0" w:firstLineChars="0"/>
                        <w:jc w:val="center"/>
                        <w:rPr>
                          <w:rFonts w:ascii="宋体" w:hAnsi="宋体"/>
                          <w:sz w:val="24"/>
                          <w:szCs w:val="24"/>
                        </w:rPr>
                      </w:pPr>
                      <w:r>
                        <w:rPr>
                          <w:rFonts w:hint="eastAsia" w:ascii="宋体" w:hAnsi="宋体"/>
                          <w:sz w:val="24"/>
                          <w:szCs w:val="24"/>
                        </w:rPr>
                        <w:t>法定代表人身份证复印于此</w:t>
                      </w:r>
                    </w:p>
                  </w:txbxContent>
                </v:textbox>
              </v:rect>
            </w:pict>
          </mc:Fallback>
        </mc:AlternateContent>
      </w:r>
    </w:p>
    <w:p w14:paraId="6E60567D">
      <w:pPr>
        <w:snapToGrid w:val="0"/>
        <w:spacing w:before="120" w:after="120" w:line="460" w:lineRule="exact"/>
        <w:ind w:firstLine="5508" w:firstLineChars="2295"/>
        <w:jc w:val="left"/>
        <w:rPr>
          <w:rFonts w:ascii="宋体" w:hAnsi="宋体" w:cs="Angsana New"/>
          <w:sz w:val="24"/>
          <w:szCs w:val="24"/>
          <w:u w:val="single"/>
          <w:lang w:bidi="th-TH"/>
        </w:rPr>
      </w:pPr>
      <w:r>
        <w:rPr>
          <w:rFonts w:hint="eastAsia" w:ascii="宋体" w:hAnsi="宋体" w:cs="Angsana New"/>
          <w:sz w:val="24"/>
          <w:szCs w:val="24"/>
          <w:lang w:bidi="th-TH"/>
        </w:rPr>
        <w:t>投标人（盖章）：</w:t>
      </w:r>
      <w:r>
        <w:rPr>
          <w:rFonts w:hint="eastAsia" w:ascii="宋体" w:hAnsi="宋体" w:cs="Angsana New"/>
          <w:sz w:val="24"/>
          <w:szCs w:val="24"/>
          <w:u w:val="single"/>
          <w:lang w:bidi="th-TH"/>
        </w:rPr>
        <w:t xml:space="preserve">             </w:t>
      </w:r>
    </w:p>
    <w:p w14:paraId="25C39B5C">
      <w:pPr>
        <w:snapToGrid w:val="0"/>
        <w:spacing w:before="120" w:after="120" w:line="460" w:lineRule="exact"/>
        <w:ind w:firstLine="5508" w:firstLineChars="2295"/>
        <w:jc w:val="left"/>
        <w:rPr>
          <w:rFonts w:ascii="宋体" w:hAnsi="宋体" w:cs="Angsana New"/>
          <w:sz w:val="24"/>
          <w:szCs w:val="24"/>
          <w:lang w:bidi="th-TH"/>
        </w:rPr>
      </w:pPr>
      <w:r>
        <w:rPr>
          <w:rFonts w:hint="eastAsia" w:ascii="宋体" w:hAnsi="宋体" w:cs="Angsana New"/>
          <w:sz w:val="24"/>
          <w:szCs w:val="24"/>
          <w:lang w:bidi="th-TH"/>
        </w:rPr>
        <w:t>日期：</w:t>
      </w:r>
      <w:r>
        <w:rPr>
          <w:rFonts w:hint="eastAsia" w:ascii="宋体" w:hAnsi="宋体" w:cs="Angsana New"/>
          <w:sz w:val="24"/>
          <w:szCs w:val="24"/>
          <w:u w:val="single"/>
          <w:lang w:bidi="th-TH"/>
        </w:rPr>
        <w:t xml:space="preserve">   年  月  日</w:t>
      </w:r>
      <w:r>
        <w:rPr>
          <w:rFonts w:ascii="宋体" w:hAnsi="宋体" w:cs="Angsana New"/>
          <w:sz w:val="24"/>
          <w:szCs w:val="24"/>
          <w:lang w:bidi="th-TH"/>
        </w:rPr>
        <w:br w:type="page"/>
      </w:r>
      <w:r>
        <w:rPr>
          <w:rFonts w:hint="eastAsia" w:ascii="宋体" w:hAnsi="宋体" w:cs="Angsana New"/>
          <w:sz w:val="24"/>
          <w:szCs w:val="24"/>
          <w:lang w:bidi="th-TH"/>
        </w:rPr>
        <w:t>格式二：</w:t>
      </w:r>
    </w:p>
    <w:p w14:paraId="034F9591">
      <w:pPr>
        <w:snapToGrid w:val="0"/>
        <w:spacing w:before="120" w:after="120" w:line="460" w:lineRule="exact"/>
        <w:ind w:firstLine="562"/>
        <w:jc w:val="center"/>
        <w:rPr>
          <w:rFonts w:ascii="宋体" w:hAnsi="宋体"/>
          <w:b/>
          <w:sz w:val="28"/>
          <w:szCs w:val="28"/>
        </w:rPr>
      </w:pPr>
    </w:p>
    <w:p w14:paraId="2FB9B20D">
      <w:pPr>
        <w:snapToGrid w:val="0"/>
        <w:spacing w:before="120" w:after="120" w:line="460" w:lineRule="exact"/>
        <w:ind w:firstLine="562"/>
        <w:jc w:val="center"/>
        <w:outlineLvl w:val="0"/>
        <w:rPr>
          <w:rFonts w:ascii="宋体" w:hAnsi="宋体"/>
          <w:b/>
          <w:sz w:val="28"/>
          <w:szCs w:val="28"/>
        </w:rPr>
      </w:pPr>
      <w:bookmarkStart w:id="459" w:name="_Toc23848"/>
      <w:r>
        <w:rPr>
          <w:rFonts w:hint="eastAsia" w:ascii="宋体" w:hAnsi="宋体"/>
          <w:b/>
          <w:sz w:val="28"/>
          <w:szCs w:val="28"/>
        </w:rPr>
        <w:t>投标人的法定代表人授权委托书</w:t>
      </w:r>
      <w:bookmarkEnd w:id="459"/>
    </w:p>
    <w:p w14:paraId="76C4E4F7">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本授权委托书声明：我</w:t>
      </w:r>
      <w:r>
        <w:rPr>
          <w:rFonts w:hint="eastAsia" w:ascii="宋体" w:hAnsi="宋体" w:cs="Angsana New"/>
          <w:sz w:val="24"/>
          <w:szCs w:val="24"/>
          <w:u w:val="single"/>
          <w:lang w:bidi="th-TH"/>
        </w:rPr>
        <w:t>（姓名）</w:t>
      </w:r>
      <w:r>
        <w:rPr>
          <w:rFonts w:hint="eastAsia" w:ascii="宋体" w:hAnsi="宋体" w:cs="Angsana New"/>
          <w:sz w:val="24"/>
          <w:szCs w:val="24"/>
          <w:lang w:bidi="th-TH"/>
        </w:rPr>
        <w:t>系</w:t>
      </w:r>
      <w:r>
        <w:rPr>
          <w:rFonts w:hint="eastAsia" w:ascii="宋体" w:hAnsi="宋体" w:cs="Angsana New"/>
          <w:sz w:val="24"/>
          <w:szCs w:val="24"/>
          <w:u w:val="single"/>
          <w:lang w:bidi="th-TH"/>
        </w:rPr>
        <w:t>（投标人名称）</w:t>
      </w:r>
      <w:r>
        <w:rPr>
          <w:rFonts w:hint="eastAsia" w:ascii="宋体" w:hAnsi="宋体" w:cs="Angsana New"/>
          <w:sz w:val="24"/>
          <w:szCs w:val="24"/>
          <w:lang w:bidi="th-TH"/>
        </w:rPr>
        <w:t>的法定代表人，现授权委托</w:t>
      </w:r>
      <w:r>
        <w:rPr>
          <w:rFonts w:hint="eastAsia" w:ascii="宋体" w:hAnsi="宋体" w:cs="Angsana New"/>
          <w:sz w:val="24"/>
          <w:szCs w:val="24"/>
          <w:u w:val="single"/>
          <w:lang w:bidi="th-TH"/>
        </w:rPr>
        <w:t>（单位名称）</w:t>
      </w:r>
      <w:r>
        <w:rPr>
          <w:rFonts w:hint="eastAsia" w:ascii="宋体" w:hAnsi="宋体" w:cs="Angsana New"/>
          <w:sz w:val="24"/>
          <w:szCs w:val="24"/>
          <w:lang w:bidi="th-TH"/>
        </w:rPr>
        <w:t>的</w:t>
      </w:r>
      <w:r>
        <w:rPr>
          <w:rFonts w:hint="eastAsia" w:ascii="宋体" w:hAnsi="宋体" w:cs="Angsana New"/>
          <w:sz w:val="24"/>
          <w:szCs w:val="24"/>
          <w:u w:val="single"/>
          <w:lang w:bidi="th-TH"/>
        </w:rPr>
        <w:t>（姓名）</w:t>
      </w:r>
      <w:r>
        <w:rPr>
          <w:rFonts w:hint="eastAsia" w:ascii="宋体" w:hAnsi="宋体" w:cs="Angsana New"/>
          <w:sz w:val="24"/>
          <w:szCs w:val="24"/>
          <w:lang w:bidi="th-TH"/>
        </w:rPr>
        <w:t>为我公司的代理人，以本公司的名义参加（</w:t>
      </w:r>
      <w:r>
        <w:rPr>
          <w:rFonts w:hint="eastAsia" w:ascii="宋体" w:hAnsi="宋体" w:cs="Angsana New"/>
          <w:sz w:val="24"/>
          <w:szCs w:val="24"/>
          <w:u w:val="single"/>
          <w:lang w:bidi="th-TH"/>
        </w:rPr>
        <w:t>招标项目名称）</w:t>
      </w:r>
      <w:r>
        <w:rPr>
          <w:rFonts w:hint="eastAsia" w:ascii="宋体" w:hAnsi="宋体" w:cs="Angsana New"/>
          <w:sz w:val="24"/>
          <w:szCs w:val="24"/>
          <w:lang w:bidi="th-TH"/>
        </w:rPr>
        <w:t>的投标活动。代理人在开标、评标、合同谈判过程中所签署的一切文件和处理与之有关的一切事务，我均予以承认。</w:t>
      </w:r>
    </w:p>
    <w:p w14:paraId="206E238F">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 xml:space="preserve">代理人：                性别：           年龄：        </w:t>
      </w:r>
    </w:p>
    <w:p w14:paraId="101C028D">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单位：                  部门：           职务：</w:t>
      </w:r>
    </w:p>
    <w:p w14:paraId="04717C29">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代理人无转委托权。特此委托。</w:t>
      </w:r>
    </w:p>
    <w:p w14:paraId="6F5F9752">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22860</wp:posOffset>
                </wp:positionV>
                <wp:extent cx="1943100" cy="1089660"/>
                <wp:effectExtent l="5080" t="4445" r="13970" b="10795"/>
                <wp:wrapNone/>
                <wp:docPr id="4" name="矩形 4"/>
                <wp:cNvGraphicFramePr/>
                <a:graphic xmlns:a="http://schemas.openxmlformats.org/drawingml/2006/main">
                  <a:graphicData uri="http://schemas.microsoft.com/office/word/2010/wordprocessingShape">
                    <wps:wsp>
                      <wps:cNvSpPr/>
                      <wps:spPr>
                        <a:xfrm>
                          <a:off x="0" y="0"/>
                          <a:ext cx="1943100" cy="10896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46646C">
                            <w:pPr>
                              <w:spacing w:line="240" w:lineRule="auto"/>
                              <w:ind w:firstLine="0" w:firstLineChars="0"/>
                              <w:jc w:val="center"/>
                              <w:rPr>
                                <w:rFonts w:ascii="宋体" w:hAnsi="宋体"/>
                                <w:sz w:val="24"/>
                                <w:szCs w:val="24"/>
                              </w:rPr>
                            </w:pPr>
                          </w:p>
                          <w:p w14:paraId="79EF9DDC">
                            <w:pPr>
                              <w:spacing w:line="240" w:lineRule="auto"/>
                              <w:ind w:firstLine="0" w:firstLineChars="0"/>
                              <w:jc w:val="center"/>
                              <w:rPr>
                                <w:rFonts w:ascii="宋体" w:hAnsi="宋体"/>
                              </w:rPr>
                            </w:pPr>
                            <w:r>
                              <w:rPr>
                                <w:rFonts w:hint="eastAsia" w:ascii="宋体" w:hAnsi="宋体"/>
                              </w:rPr>
                              <w:t>法定代表人及授权委托人身份证复印于此</w:t>
                            </w:r>
                          </w:p>
                        </w:txbxContent>
                      </wps:txbx>
                      <wps:bodyPr upright="1"/>
                    </wps:wsp>
                  </a:graphicData>
                </a:graphic>
              </wp:anchor>
            </w:drawing>
          </mc:Choice>
          <mc:Fallback>
            <w:pict>
              <v:rect id="_x0000_s1026" o:spid="_x0000_s1026" o:spt="1" style="position:absolute;left:0pt;margin-left:3.3pt;margin-top:1.8pt;height:85.8pt;width:153pt;z-index:251659264;mso-width-relative:page;mso-height-relative:page;" fillcolor="#FFFFFF" filled="t" stroked="t" coordsize="21600,21600" o:gfxdata="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m5T9QAAAAHAQAADwAAAAAAAAABACAAAAAiAAAAZHJzL2Rv&#10;d25yZXYueG1sUEsBAhQAFAAAAAgAh07iQJ7bJigFAgAAKgQAAA4AAAAAAAAAAQAgAAAAIwEAAGRy&#10;cy9lMm9Eb2MueG1sUEsFBgAAAAAGAAYAWQEAAJoFAAAAAA==&#10;">
                <v:fill on="t" focussize="0,0"/>
                <v:stroke color="#000000" joinstyle="miter"/>
                <v:imagedata o:title=""/>
                <o:lock v:ext="edit" aspectratio="f"/>
                <v:textbox>
                  <w:txbxContent>
                    <w:p w14:paraId="2346646C">
                      <w:pPr>
                        <w:spacing w:line="240" w:lineRule="auto"/>
                        <w:ind w:firstLine="0" w:firstLineChars="0"/>
                        <w:jc w:val="center"/>
                        <w:rPr>
                          <w:rFonts w:ascii="宋体" w:hAnsi="宋体"/>
                          <w:sz w:val="24"/>
                          <w:szCs w:val="24"/>
                        </w:rPr>
                      </w:pPr>
                    </w:p>
                    <w:p w14:paraId="79EF9DDC">
                      <w:pPr>
                        <w:spacing w:line="240" w:lineRule="auto"/>
                        <w:ind w:firstLine="0" w:firstLineChars="0"/>
                        <w:jc w:val="center"/>
                        <w:rPr>
                          <w:rFonts w:ascii="宋体" w:hAnsi="宋体"/>
                        </w:rPr>
                      </w:pPr>
                      <w:r>
                        <w:rPr>
                          <w:rFonts w:hint="eastAsia" w:ascii="宋体" w:hAnsi="宋体"/>
                        </w:rPr>
                        <w:t>法定代表人及授权委托人身份证复印于此</w:t>
                      </w:r>
                    </w:p>
                  </w:txbxContent>
                </v:textbox>
              </v:rect>
            </w:pict>
          </mc:Fallback>
        </mc:AlternateContent>
      </w:r>
    </w:p>
    <w:p w14:paraId="67E3E3D1">
      <w:pPr>
        <w:snapToGrid w:val="0"/>
        <w:spacing w:before="120" w:after="120" w:line="460" w:lineRule="exact"/>
        <w:ind w:firstLine="480"/>
        <w:jc w:val="left"/>
        <w:rPr>
          <w:rFonts w:ascii="宋体" w:hAnsi="宋体" w:cs="Angsana New"/>
          <w:sz w:val="24"/>
          <w:szCs w:val="24"/>
          <w:lang w:bidi="th-TH"/>
        </w:rPr>
      </w:pPr>
    </w:p>
    <w:p w14:paraId="37FACF04">
      <w:pPr>
        <w:snapToGrid w:val="0"/>
        <w:spacing w:before="120" w:after="120" w:line="460" w:lineRule="exact"/>
        <w:ind w:firstLine="480"/>
        <w:jc w:val="left"/>
        <w:rPr>
          <w:rFonts w:ascii="宋体" w:hAnsi="宋体" w:cs="Angsana New"/>
          <w:sz w:val="24"/>
          <w:szCs w:val="24"/>
          <w:lang w:bidi="th-TH"/>
        </w:rPr>
      </w:pPr>
    </w:p>
    <w:p w14:paraId="00866056">
      <w:pPr>
        <w:snapToGrid w:val="0"/>
        <w:spacing w:before="120" w:after="120" w:line="46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投标人（盖章）：</w:t>
      </w:r>
      <w:r>
        <w:rPr>
          <w:rFonts w:hint="eastAsia" w:ascii="宋体" w:hAnsi="宋体" w:cs="Angsana New"/>
          <w:sz w:val="24"/>
          <w:szCs w:val="24"/>
          <w:u w:val="single"/>
          <w:lang w:bidi="th-TH"/>
        </w:rPr>
        <w:t xml:space="preserve">                 </w:t>
      </w:r>
    </w:p>
    <w:p w14:paraId="6B4412F7">
      <w:pPr>
        <w:snapToGrid w:val="0"/>
        <w:spacing w:before="120" w:after="120" w:line="460" w:lineRule="exact"/>
        <w:ind w:firstLine="480"/>
        <w:jc w:val="left"/>
        <w:rPr>
          <w:rFonts w:ascii="宋体" w:hAnsi="宋体" w:cs="Angsana New"/>
          <w:sz w:val="24"/>
          <w:szCs w:val="24"/>
          <w:lang w:bidi="th-TH"/>
        </w:rPr>
      </w:pPr>
      <w:r>
        <w:rPr>
          <w:rFonts w:hint="eastAsia" w:ascii="宋体" w:hAnsi="宋体" w:cs="Angsana New"/>
          <w:sz w:val="24"/>
          <w:szCs w:val="24"/>
          <w:lang w:bidi="th-TH"/>
        </w:rPr>
        <w:t>法定代表人（签字或盖章）：</w:t>
      </w:r>
      <w:r>
        <w:rPr>
          <w:rFonts w:hint="eastAsia" w:ascii="宋体" w:hAnsi="宋体" w:cs="Angsana New"/>
          <w:sz w:val="24"/>
          <w:szCs w:val="24"/>
          <w:u w:val="single"/>
          <w:lang w:bidi="th-TH"/>
        </w:rPr>
        <w:t xml:space="preserve">        </w:t>
      </w:r>
    </w:p>
    <w:p w14:paraId="3B90A591">
      <w:pPr>
        <w:snapToGrid w:val="0"/>
        <w:spacing w:before="120" w:after="120" w:line="46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日期：</w:t>
      </w:r>
      <w:r>
        <w:rPr>
          <w:rFonts w:hint="eastAsia" w:ascii="宋体" w:hAnsi="宋体" w:cs="Angsana New"/>
          <w:sz w:val="24"/>
          <w:szCs w:val="24"/>
          <w:u w:val="single"/>
          <w:lang w:bidi="th-TH"/>
        </w:rPr>
        <w:t xml:space="preserve">   年  月  日</w:t>
      </w:r>
    </w:p>
    <w:p w14:paraId="37466C18">
      <w:pPr>
        <w:snapToGrid w:val="0"/>
        <w:spacing w:before="120" w:after="120" w:line="460" w:lineRule="exact"/>
        <w:ind w:firstLine="560"/>
        <w:jc w:val="left"/>
        <w:rPr>
          <w:rFonts w:ascii="宋体" w:hAnsi="宋体" w:cs="Angsana New"/>
          <w:sz w:val="28"/>
          <w:szCs w:val="20"/>
          <w:lang w:bidi="th-TH"/>
        </w:rPr>
      </w:pPr>
    </w:p>
    <w:p w14:paraId="37BEBB4C">
      <w:pPr>
        <w:snapToGrid w:val="0"/>
        <w:spacing w:before="120" w:after="120" w:line="460" w:lineRule="exact"/>
        <w:ind w:firstLine="560"/>
        <w:rPr>
          <w:rFonts w:ascii="宋体" w:hAnsi="宋体" w:cs="Angsana New"/>
          <w:sz w:val="24"/>
          <w:szCs w:val="24"/>
          <w:lang w:bidi="th-TH"/>
        </w:rPr>
      </w:pPr>
      <w:r>
        <w:rPr>
          <w:rFonts w:ascii="宋体" w:hAnsi="宋体" w:cs="Angsana New"/>
          <w:sz w:val="28"/>
          <w:szCs w:val="20"/>
          <w:lang w:bidi="th-TH"/>
        </w:rPr>
        <w:br w:type="page"/>
      </w:r>
      <w:r>
        <w:rPr>
          <w:rFonts w:hint="eastAsia" w:ascii="宋体" w:hAnsi="宋体" w:cs="Angsana New"/>
          <w:sz w:val="24"/>
          <w:szCs w:val="24"/>
          <w:lang w:bidi="th-TH"/>
        </w:rPr>
        <w:t>格式三：</w:t>
      </w:r>
    </w:p>
    <w:p w14:paraId="11B0D5AB">
      <w:pPr>
        <w:snapToGrid w:val="0"/>
        <w:spacing w:line="480" w:lineRule="exact"/>
        <w:ind w:firstLine="562"/>
        <w:jc w:val="center"/>
        <w:outlineLvl w:val="0"/>
        <w:rPr>
          <w:rFonts w:ascii="宋体" w:hAnsi="宋体"/>
          <w:b/>
          <w:sz w:val="28"/>
          <w:szCs w:val="28"/>
        </w:rPr>
      </w:pPr>
      <w:bookmarkStart w:id="460" w:name="_Toc4466"/>
      <w:r>
        <w:rPr>
          <w:rFonts w:hint="eastAsia" w:ascii="宋体" w:hAnsi="宋体"/>
          <w:b/>
          <w:sz w:val="28"/>
          <w:szCs w:val="28"/>
        </w:rPr>
        <w:t>投标函</w:t>
      </w:r>
      <w:bookmarkEnd w:id="460"/>
    </w:p>
    <w:p w14:paraId="54B15C51">
      <w:pPr>
        <w:spacing w:line="400" w:lineRule="exact"/>
        <w:ind w:firstLine="480"/>
        <w:jc w:val="left"/>
        <w:rPr>
          <w:rFonts w:ascii="宋体" w:hAnsi="宋体" w:cs="Angsana New"/>
          <w:sz w:val="24"/>
          <w:szCs w:val="24"/>
          <w:lang w:bidi="th-TH"/>
        </w:rPr>
      </w:pPr>
      <w:r>
        <w:rPr>
          <w:rFonts w:hint="eastAsia" w:ascii="宋体" w:hAnsi="宋体" w:cs="Angsana New"/>
          <w:sz w:val="24"/>
          <w:szCs w:val="24"/>
          <w:u w:val="single"/>
          <w:lang w:bidi="th-TH"/>
        </w:rPr>
        <w:t>（招标人名称）</w:t>
      </w:r>
      <w:r>
        <w:rPr>
          <w:rFonts w:hint="eastAsia" w:ascii="宋体" w:hAnsi="宋体" w:cs="Angsana New"/>
          <w:sz w:val="24"/>
          <w:szCs w:val="24"/>
          <w:lang w:bidi="th-TH"/>
        </w:rPr>
        <w:t>：</w:t>
      </w:r>
    </w:p>
    <w:p w14:paraId="373459FC">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根据贵方为</w:t>
      </w:r>
      <w:r>
        <w:rPr>
          <w:rFonts w:hint="eastAsia" w:ascii="宋体" w:hAnsi="宋体" w:cs="Angsana New"/>
          <w:sz w:val="24"/>
          <w:szCs w:val="24"/>
          <w:u w:val="single"/>
          <w:lang w:bidi="th-TH"/>
        </w:rPr>
        <w:t>（项目名称）</w:t>
      </w:r>
      <w:r>
        <w:rPr>
          <w:rFonts w:hint="eastAsia" w:ascii="宋体" w:hAnsi="宋体" w:cs="Angsana New"/>
          <w:sz w:val="24"/>
          <w:szCs w:val="24"/>
          <w:lang w:bidi="th-TH"/>
        </w:rPr>
        <w:t>项目的招标文件,签字人</w:t>
      </w:r>
      <w:r>
        <w:rPr>
          <w:rFonts w:hint="eastAsia" w:ascii="宋体" w:hAnsi="宋体" w:cs="Angsana New"/>
          <w:sz w:val="24"/>
          <w:szCs w:val="24"/>
          <w:u w:val="single"/>
          <w:lang w:bidi="th-TH"/>
        </w:rPr>
        <w:t>（姓名、职务）</w:t>
      </w:r>
      <w:r>
        <w:rPr>
          <w:rFonts w:hint="eastAsia" w:ascii="宋体" w:hAnsi="宋体" w:cs="Angsana New"/>
          <w:sz w:val="24"/>
          <w:szCs w:val="24"/>
          <w:lang w:bidi="th-TH"/>
        </w:rPr>
        <w:t>经正式授权并代表投标人</w:t>
      </w:r>
      <w:r>
        <w:rPr>
          <w:rFonts w:hint="eastAsia" w:ascii="宋体" w:hAnsi="宋体" w:cs="Angsana New"/>
          <w:sz w:val="24"/>
          <w:szCs w:val="24"/>
          <w:u w:val="single"/>
          <w:lang w:bidi="th-TH"/>
        </w:rPr>
        <w:t>（投标人名称、地址）</w:t>
      </w:r>
      <w:r>
        <w:rPr>
          <w:rFonts w:hint="eastAsia" w:ascii="宋体" w:hAnsi="宋体" w:cs="Angsana New"/>
          <w:sz w:val="24"/>
          <w:szCs w:val="24"/>
          <w:lang w:bidi="th-TH"/>
        </w:rPr>
        <w:t>提交投标文件正本</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份及副本</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份；</w:t>
      </w:r>
    </w:p>
    <w:p w14:paraId="57CCA82C">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据此函，签字代表宣布同意如下：</w:t>
      </w:r>
    </w:p>
    <w:p w14:paraId="56B4A502">
      <w:pPr>
        <w:spacing w:line="40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1.所附投标分项报价表中规定的应提交和交付的投标总价为</w:t>
      </w:r>
      <w:r>
        <w:rPr>
          <w:rFonts w:hint="eastAsia" w:ascii="宋体" w:hAnsi="宋体" w:cs="Angsana New"/>
          <w:sz w:val="24"/>
          <w:szCs w:val="24"/>
          <w:u w:val="single"/>
          <w:lang w:bidi="th-TH"/>
        </w:rPr>
        <w:t xml:space="preserve">人民币大写：      </w:t>
      </w:r>
      <w:r>
        <w:rPr>
          <w:rFonts w:hint="eastAsia" w:ascii="宋体" w:hAnsi="宋体" w:cs="Angsana New"/>
          <w:sz w:val="24"/>
          <w:szCs w:val="24"/>
          <w:lang w:bidi="th-TH"/>
        </w:rPr>
        <w:t>，小写：</w:t>
      </w:r>
      <w:r>
        <w:rPr>
          <w:rFonts w:hint="eastAsia" w:ascii="宋体" w:hAnsi="宋体" w:cs="Angsana New"/>
          <w:sz w:val="24"/>
          <w:szCs w:val="24"/>
          <w:u w:val="single"/>
          <w:lang w:bidi="th-TH"/>
        </w:rPr>
        <w:t>￥         元</w:t>
      </w:r>
      <w:r>
        <w:rPr>
          <w:rFonts w:hint="eastAsia" w:ascii="宋体" w:hAnsi="宋体" w:cs="Angsana New"/>
          <w:sz w:val="24"/>
          <w:szCs w:val="24"/>
          <w:lang w:bidi="th-TH"/>
        </w:rPr>
        <w:t>）。我方承诺</w:t>
      </w:r>
      <w:r>
        <w:rPr>
          <w:rFonts w:hint="eastAsia" w:ascii="宋体" w:hAnsi="宋体"/>
          <w:sz w:val="24"/>
          <w:szCs w:val="24"/>
        </w:rPr>
        <w:t>在</w:t>
      </w:r>
      <w:r>
        <w:rPr>
          <w:rFonts w:hint="eastAsia" w:ascii="宋体" w:hAnsi="宋体"/>
          <w:sz w:val="24"/>
          <w:szCs w:val="24"/>
          <w:u w:val="single"/>
        </w:rPr>
        <w:t xml:space="preserve">   天</w:t>
      </w:r>
      <w:r>
        <w:rPr>
          <w:rFonts w:hint="eastAsia" w:ascii="宋体" w:hAnsi="宋体"/>
          <w:sz w:val="24"/>
          <w:szCs w:val="24"/>
        </w:rPr>
        <w:t>内完成。产品质量达</w:t>
      </w:r>
      <w:r>
        <w:rPr>
          <w:rFonts w:hint="eastAsia" w:ascii="宋体" w:hAnsi="宋体"/>
          <w:sz w:val="24"/>
          <w:szCs w:val="24"/>
          <w:u w:val="single"/>
        </w:rPr>
        <w:t>合格</w:t>
      </w:r>
      <w:r>
        <w:rPr>
          <w:rFonts w:hint="eastAsia" w:ascii="宋体" w:hAnsi="宋体"/>
          <w:sz w:val="24"/>
          <w:szCs w:val="24"/>
        </w:rPr>
        <w:t>标准。</w:t>
      </w:r>
    </w:p>
    <w:p w14:paraId="436AB8E8">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2.我方已详细审查全部招标文件，包括有关澄清和补充说明（如果有的话）。我们完全理解并同意放弃对这方面有不明及误解的权力。</w:t>
      </w:r>
    </w:p>
    <w:p w14:paraId="2137EE3D">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3.本投标文件有效期为自开标日起60个日历天。在这期间，本投标文件将始终对我方具有约束力，并可随时被接受。本次招标文件和本投标文件（含承诺书）将作为买卖合同的附件。</w:t>
      </w:r>
    </w:p>
    <w:p w14:paraId="0679AB29">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4.我方愿意向招标人提供与本次招标的相关资料，并对其真实性、合法性、有效性负责。</w:t>
      </w:r>
    </w:p>
    <w:p w14:paraId="5821DF3E">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5.我方将严格履行本投标文件中的全部承诺和责任，并遵守招标文件中对投标人的所有规定。</w:t>
      </w:r>
    </w:p>
    <w:p w14:paraId="18042308">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6.我方完全理解招标人有保留在授标之前任何时候根据评标委员会的意见接受或拒绝任何投标的权力，并完全理解招标人对此无解释的义务。</w:t>
      </w:r>
    </w:p>
    <w:p w14:paraId="0CC1E858">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7.我方完全理解招标人不一定接受投标价最低的投标。</w:t>
      </w:r>
    </w:p>
    <w:p w14:paraId="4938DD45">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8.我方承诺在此次招标过程中涉及的一切应当保密的事项，不向任何第三方泄露，否则承担一切法律责任。</w:t>
      </w:r>
    </w:p>
    <w:p w14:paraId="51469860">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9.如果我方中标，我们将按招标人要求的时间节点供货和安装，严格按照招标文件的规定履行合同责任和义务。</w:t>
      </w:r>
    </w:p>
    <w:p w14:paraId="70C6C3A4">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10.如果我方中标，为执行合同，我们将按照招标文件约定要求，接受招标人、监理及总承包等单位的管理、考核等。</w:t>
      </w:r>
    </w:p>
    <w:p w14:paraId="58203ED1">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11.与本次投标有关的一切往来信函请寄：</w:t>
      </w:r>
    </w:p>
    <w:p w14:paraId="644EB9A4">
      <w:pPr>
        <w:spacing w:line="40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地址：</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 xml:space="preserve">    传真：</w:t>
      </w:r>
      <w:r>
        <w:rPr>
          <w:rFonts w:hint="eastAsia" w:ascii="宋体" w:hAnsi="宋体" w:cs="Angsana New"/>
          <w:sz w:val="24"/>
          <w:szCs w:val="24"/>
          <w:u w:val="single"/>
          <w:lang w:bidi="th-TH"/>
        </w:rPr>
        <w:t xml:space="preserve">               </w:t>
      </w:r>
    </w:p>
    <w:p w14:paraId="741722AE">
      <w:pPr>
        <w:spacing w:line="40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电话：</w:t>
      </w:r>
      <w:r>
        <w:rPr>
          <w:rFonts w:hint="eastAsia" w:ascii="宋体" w:hAnsi="宋体" w:cs="Angsana New"/>
          <w:sz w:val="24"/>
          <w:szCs w:val="24"/>
          <w:u w:val="single"/>
          <w:lang w:bidi="th-TH"/>
        </w:rPr>
        <w:t xml:space="preserve">             </w:t>
      </w:r>
      <w:r>
        <w:rPr>
          <w:rFonts w:hint="eastAsia" w:ascii="宋体" w:hAnsi="宋体" w:cs="Angsana New"/>
          <w:sz w:val="24"/>
          <w:szCs w:val="24"/>
          <w:lang w:bidi="th-TH"/>
        </w:rPr>
        <w:t xml:space="preserve">    电子邮件：</w:t>
      </w:r>
      <w:r>
        <w:rPr>
          <w:rFonts w:hint="eastAsia" w:ascii="宋体" w:hAnsi="宋体" w:cs="Angsana New"/>
          <w:sz w:val="24"/>
          <w:szCs w:val="24"/>
          <w:u w:val="single"/>
          <w:lang w:bidi="th-TH"/>
        </w:rPr>
        <w:t xml:space="preserve">            </w:t>
      </w:r>
    </w:p>
    <w:p w14:paraId="0317AD69">
      <w:pPr>
        <w:spacing w:line="400" w:lineRule="exact"/>
        <w:ind w:firstLine="480"/>
        <w:jc w:val="left"/>
        <w:rPr>
          <w:rFonts w:ascii="宋体" w:hAnsi="宋体" w:cs="Angsana New"/>
          <w:sz w:val="24"/>
          <w:szCs w:val="24"/>
          <w:u w:val="single"/>
          <w:lang w:bidi="th-TH"/>
        </w:rPr>
      </w:pPr>
    </w:p>
    <w:p w14:paraId="08E1D1A2">
      <w:pPr>
        <w:spacing w:line="40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投标人（盖章）：</w:t>
      </w:r>
      <w:r>
        <w:rPr>
          <w:rFonts w:hint="eastAsia" w:ascii="宋体" w:hAnsi="宋体" w:cs="Angsana New"/>
          <w:sz w:val="24"/>
          <w:szCs w:val="24"/>
          <w:u w:val="single"/>
          <w:lang w:bidi="th-TH"/>
        </w:rPr>
        <w:t xml:space="preserve">                 </w:t>
      </w:r>
    </w:p>
    <w:p w14:paraId="5922D0B6">
      <w:pPr>
        <w:spacing w:line="400" w:lineRule="exact"/>
        <w:ind w:firstLine="480"/>
        <w:jc w:val="left"/>
        <w:rPr>
          <w:rFonts w:ascii="宋体" w:hAnsi="宋体" w:cs="Angsana New"/>
          <w:sz w:val="24"/>
          <w:szCs w:val="24"/>
          <w:lang w:bidi="th-TH"/>
        </w:rPr>
      </w:pPr>
      <w:r>
        <w:rPr>
          <w:rFonts w:hint="eastAsia" w:ascii="宋体" w:hAnsi="宋体" w:cs="Angsana New"/>
          <w:sz w:val="24"/>
          <w:szCs w:val="24"/>
          <w:lang w:bidi="th-TH"/>
        </w:rPr>
        <w:t>法定代表人或授权委托人（签字或盖章）：</w:t>
      </w:r>
      <w:r>
        <w:rPr>
          <w:rFonts w:hint="eastAsia" w:ascii="宋体" w:hAnsi="宋体" w:cs="Angsana New"/>
          <w:sz w:val="24"/>
          <w:szCs w:val="24"/>
          <w:u w:val="single"/>
          <w:lang w:bidi="th-TH"/>
        </w:rPr>
        <w:t xml:space="preserve">        </w:t>
      </w:r>
    </w:p>
    <w:p w14:paraId="21196911">
      <w:pPr>
        <w:spacing w:line="40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日期：</w:t>
      </w:r>
      <w:r>
        <w:rPr>
          <w:rFonts w:hint="eastAsia" w:ascii="宋体" w:hAnsi="宋体" w:cs="Angsana New"/>
          <w:sz w:val="24"/>
          <w:szCs w:val="24"/>
          <w:u w:val="single"/>
          <w:lang w:bidi="th-TH"/>
        </w:rPr>
        <w:t xml:space="preserve">   年  月  日</w:t>
      </w:r>
    </w:p>
    <w:p w14:paraId="1C82F3F2">
      <w:pPr>
        <w:rPr>
          <w:lang w:bidi="th-TH"/>
        </w:rPr>
      </w:pPr>
      <w:r>
        <w:rPr>
          <w:rFonts w:hint="eastAsia"/>
          <w:u w:val="single"/>
          <w:lang w:bidi="th-TH"/>
        </w:rPr>
        <w:br w:type="page"/>
      </w:r>
      <w:r>
        <w:rPr>
          <w:rFonts w:hint="eastAsia" w:ascii="宋体" w:hAnsi="宋体" w:cs="Angsana New"/>
          <w:sz w:val="24"/>
          <w:szCs w:val="24"/>
          <w:lang w:bidi="th-TH"/>
        </w:rPr>
        <w:t>格式四：</w:t>
      </w:r>
    </w:p>
    <w:p w14:paraId="2464BA85">
      <w:pPr>
        <w:snapToGrid w:val="0"/>
        <w:spacing w:line="480" w:lineRule="exact"/>
        <w:ind w:firstLine="562"/>
        <w:jc w:val="center"/>
        <w:outlineLvl w:val="0"/>
        <w:rPr>
          <w:rFonts w:ascii="宋体" w:hAnsi="宋体"/>
          <w:b/>
          <w:sz w:val="28"/>
          <w:szCs w:val="28"/>
        </w:rPr>
      </w:pPr>
      <w:r>
        <w:rPr>
          <w:rFonts w:hint="eastAsia" w:ascii="宋体" w:hAnsi="宋体"/>
          <w:b/>
          <w:sz w:val="28"/>
          <w:szCs w:val="28"/>
        </w:rPr>
        <w:t>投标报价明细表</w:t>
      </w:r>
    </w:p>
    <w:p w14:paraId="642E0EF1"/>
    <w:p w14:paraId="0D99B488">
      <w:r>
        <w:rPr>
          <w:rFonts w:hint="eastAsia"/>
        </w:rPr>
        <w:t xml:space="preserve">项目名称：                                  招标编号：                       </w:t>
      </w:r>
    </w:p>
    <w:p w14:paraId="38F59069">
      <w:pPr>
        <w:jc w:val="right"/>
      </w:pPr>
      <w:r>
        <w:rPr>
          <w:rFonts w:hint="eastAsia"/>
        </w:rPr>
        <w:t>报价单位：人民币元</w:t>
      </w:r>
    </w:p>
    <w:tbl>
      <w:tblPr>
        <w:tblStyle w:val="49"/>
        <w:tblW w:w="10080" w:type="dxa"/>
        <w:jc w:val="center"/>
        <w:tblLayout w:type="fixed"/>
        <w:tblCellMar>
          <w:top w:w="0" w:type="dxa"/>
          <w:left w:w="108" w:type="dxa"/>
          <w:bottom w:w="0" w:type="dxa"/>
          <w:right w:w="108" w:type="dxa"/>
        </w:tblCellMar>
      </w:tblPr>
      <w:tblGrid>
        <w:gridCol w:w="735"/>
        <w:gridCol w:w="1680"/>
        <w:gridCol w:w="1470"/>
        <w:gridCol w:w="1470"/>
        <w:gridCol w:w="728"/>
        <w:gridCol w:w="784"/>
        <w:gridCol w:w="898"/>
        <w:gridCol w:w="898"/>
        <w:gridCol w:w="1417"/>
      </w:tblGrid>
      <w:tr w14:paraId="65F0D9A4">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vAlign w:val="center"/>
          </w:tcPr>
          <w:p w14:paraId="730BC555">
            <w:pPr>
              <w:ind w:firstLine="0" w:firstLineChars="0"/>
              <w:jc w:val="center"/>
            </w:pPr>
            <w:r>
              <w:rPr>
                <w:rFonts w:hint="eastAsia"/>
              </w:rPr>
              <w:t>序号</w:t>
            </w:r>
          </w:p>
        </w:tc>
        <w:tc>
          <w:tcPr>
            <w:tcW w:w="1680" w:type="dxa"/>
            <w:tcBorders>
              <w:top w:val="single" w:color="auto" w:sz="4" w:space="0"/>
              <w:left w:val="single" w:color="auto" w:sz="6" w:space="0"/>
              <w:bottom w:val="single" w:color="auto" w:sz="4" w:space="0"/>
              <w:right w:val="single" w:color="auto" w:sz="4" w:space="0"/>
            </w:tcBorders>
            <w:vAlign w:val="center"/>
          </w:tcPr>
          <w:p w14:paraId="02B122FC">
            <w:pPr>
              <w:ind w:firstLine="0" w:firstLineChars="0"/>
              <w:jc w:val="center"/>
            </w:pPr>
            <w:r>
              <w:rPr>
                <w:rFonts w:hint="eastAsia"/>
              </w:rPr>
              <w:t>货物名称</w:t>
            </w:r>
          </w:p>
        </w:tc>
        <w:tc>
          <w:tcPr>
            <w:tcW w:w="1470" w:type="dxa"/>
            <w:tcBorders>
              <w:top w:val="single" w:color="auto" w:sz="4" w:space="0"/>
              <w:left w:val="single" w:color="auto" w:sz="4" w:space="0"/>
              <w:bottom w:val="single" w:color="auto" w:sz="4" w:space="0"/>
              <w:right w:val="single" w:color="auto" w:sz="6" w:space="0"/>
            </w:tcBorders>
            <w:vAlign w:val="center"/>
          </w:tcPr>
          <w:p w14:paraId="48C7240D">
            <w:r>
              <w:rPr>
                <w:rFonts w:hint="eastAsia"/>
              </w:rPr>
              <w:t>材质</w:t>
            </w:r>
          </w:p>
        </w:tc>
        <w:tc>
          <w:tcPr>
            <w:tcW w:w="1470" w:type="dxa"/>
            <w:tcBorders>
              <w:top w:val="single" w:color="auto" w:sz="4" w:space="0"/>
              <w:left w:val="single" w:color="auto" w:sz="4" w:space="0"/>
              <w:bottom w:val="single" w:color="auto" w:sz="4" w:space="0"/>
              <w:right w:val="single" w:color="auto" w:sz="6" w:space="0"/>
            </w:tcBorders>
            <w:vAlign w:val="center"/>
          </w:tcPr>
          <w:p w14:paraId="4EACFD3E">
            <w:pPr>
              <w:ind w:firstLine="0" w:firstLineChars="0"/>
              <w:jc w:val="center"/>
            </w:pPr>
            <w:r>
              <w:rPr>
                <w:rFonts w:hint="eastAsia"/>
              </w:rPr>
              <w:t>型号及规格</w:t>
            </w:r>
          </w:p>
        </w:tc>
        <w:tc>
          <w:tcPr>
            <w:tcW w:w="728" w:type="dxa"/>
            <w:tcBorders>
              <w:top w:val="single" w:color="auto" w:sz="4" w:space="0"/>
              <w:left w:val="single" w:color="auto" w:sz="6" w:space="0"/>
              <w:bottom w:val="single" w:color="auto" w:sz="4" w:space="0"/>
              <w:right w:val="single" w:color="auto" w:sz="6" w:space="0"/>
            </w:tcBorders>
            <w:vAlign w:val="center"/>
          </w:tcPr>
          <w:p w14:paraId="376E0B69">
            <w:pPr>
              <w:ind w:firstLine="0" w:firstLineChars="0"/>
              <w:jc w:val="center"/>
            </w:pPr>
            <w:r>
              <w:rPr>
                <w:rFonts w:hint="eastAsia"/>
              </w:rPr>
              <w:t>单位</w:t>
            </w:r>
          </w:p>
        </w:tc>
        <w:tc>
          <w:tcPr>
            <w:tcW w:w="784" w:type="dxa"/>
            <w:tcBorders>
              <w:top w:val="single" w:color="auto" w:sz="4" w:space="0"/>
              <w:left w:val="single" w:color="auto" w:sz="6" w:space="0"/>
              <w:bottom w:val="single" w:color="auto" w:sz="4" w:space="0"/>
              <w:right w:val="single" w:color="auto" w:sz="6" w:space="0"/>
            </w:tcBorders>
            <w:vAlign w:val="center"/>
          </w:tcPr>
          <w:p w14:paraId="3BFF3226">
            <w:pPr>
              <w:ind w:firstLine="0" w:firstLineChars="0"/>
              <w:jc w:val="center"/>
            </w:pPr>
            <w:r>
              <w:rPr>
                <w:rFonts w:hint="eastAsia"/>
              </w:rPr>
              <w:t>数量</w:t>
            </w:r>
          </w:p>
        </w:tc>
        <w:tc>
          <w:tcPr>
            <w:tcW w:w="898" w:type="dxa"/>
            <w:tcBorders>
              <w:top w:val="single" w:color="auto" w:sz="4" w:space="0"/>
              <w:left w:val="single" w:color="auto" w:sz="6" w:space="0"/>
              <w:bottom w:val="single" w:color="auto" w:sz="4" w:space="0"/>
              <w:right w:val="single" w:color="auto" w:sz="6" w:space="0"/>
            </w:tcBorders>
            <w:vAlign w:val="center"/>
          </w:tcPr>
          <w:p w14:paraId="3FE55D09">
            <w:pPr>
              <w:ind w:firstLine="0" w:firstLineChars="0"/>
              <w:jc w:val="center"/>
            </w:pPr>
            <w:r>
              <w:rPr>
                <w:rFonts w:hint="eastAsia"/>
              </w:rPr>
              <w:t>单价</w:t>
            </w:r>
          </w:p>
        </w:tc>
        <w:tc>
          <w:tcPr>
            <w:tcW w:w="898" w:type="dxa"/>
            <w:tcBorders>
              <w:top w:val="single" w:color="auto" w:sz="4" w:space="0"/>
              <w:left w:val="single" w:color="auto" w:sz="6" w:space="0"/>
              <w:bottom w:val="single" w:color="auto" w:sz="4" w:space="0"/>
              <w:right w:val="single" w:color="auto" w:sz="6" w:space="0"/>
            </w:tcBorders>
            <w:vAlign w:val="center"/>
          </w:tcPr>
          <w:p w14:paraId="0F61E517">
            <w:pPr>
              <w:ind w:firstLine="0" w:firstLineChars="0"/>
              <w:jc w:val="center"/>
            </w:pPr>
            <w:r>
              <w:rPr>
                <w:rFonts w:hint="eastAsia"/>
              </w:rPr>
              <w:t>总价</w:t>
            </w:r>
          </w:p>
        </w:tc>
        <w:tc>
          <w:tcPr>
            <w:tcW w:w="1417" w:type="dxa"/>
            <w:tcBorders>
              <w:top w:val="single" w:color="auto" w:sz="4" w:space="0"/>
              <w:left w:val="single" w:color="auto" w:sz="6" w:space="0"/>
              <w:bottom w:val="single" w:color="auto" w:sz="4" w:space="0"/>
              <w:right w:val="single" w:color="auto" w:sz="4" w:space="0"/>
            </w:tcBorders>
            <w:vAlign w:val="center"/>
          </w:tcPr>
          <w:p w14:paraId="57CE9136">
            <w:pPr>
              <w:ind w:firstLine="0" w:firstLineChars="0"/>
              <w:jc w:val="center"/>
            </w:pPr>
            <w:r>
              <w:rPr>
                <w:rFonts w:hint="eastAsia"/>
              </w:rPr>
              <w:t>制造商/产地</w:t>
            </w:r>
          </w:p>
        </w:tc>
      </w:tr>
      <w:tr w14:paraId="05C28BE4">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6F1B6645"/>
        </w:tc>
        <w:tc>
          <w:tcPr>
            <w:tcW w:w="1680" w:type="dxa"/>
            <w:tcBorders>
              <w:top w:val="single" w:color="auto" w:sz="4" w:space="0"/>
              <w:left w:val="single" w:color="auto" w:sz="6" w:space="0"/>
              <w:bottom w:val="single" w:color="auto" w:sz="4" w:space="0"/>
              <w:right w:val="single" w:color="auto" w:sz="4" w:space="0"/>
            </w:tcBorders>
          </w:tcPr>
          <w:p w14:paraId="6E1E4B01"/>
        </w:tc>
        <w:tc>
          <w:tcPr>
            <w:tcW w:w="1470" w:type="dxa"/>
            <w:tcBorders>
              <w:top w:val="single" w:color="auto" w:sz="4" w:space="0"/>
              <w:left w:val="single" w:color="auto" w:sz="4" w:space="0"/>
              <w:bottom w:val="single" w:color="auto" w:sz="4" w:space="0"/>
              <w:right w:val="single" w:color="auto" w:sz="6" w:space="0"/>
            </w:tcBorders>
          </w:tcPr>
          <w:p w14:paraId="06D092F7"/>
        </w:tc>
        <w:tc>
          <w:tcPr>
            <w:tcW w:w="1470" w:type="dxa"/>
            <w:tcBorders>
              <w:top w:val="single" w:color="auto" w:sz="4" w:space="0"/>
              <w:left w:val="single" w:color="auto" w:sz="4" w:space="0"/>
              <w:bottom w:val="single" w:color="auto" w:sz="4" w:space="0"/>
              <w:right w:val="single" w:color="auto" w:sz="6" w:space="0"/>
            </w:tcBorders>
          </w:tcPr>
          <w:p w14:paraId="40D47B2A"/>
        </w:tc>
        <w:tc>
          <w:tcPr>
            <w:tcW w:w="728" w:type="dxa"/>
            <w:tcBorders>
              <w:top w:val="single" w:color="auto" w:sz="4" w:space="0"/>
              <w:left w:val="single" w:color="auto" w:sz="6" w:space="0"/>
              <w:bottom w:val="single" w:color="auto" w:sz="4" w:space="0"/>
              <w:right w:val="single" w:color="auto" w:sz="6" w:space="0"/>
            </w:tcBorders>
          </w:tcPr>
          <w:p w14:paraId="2434C355"/>
        </w:tc>
        <w:tc>
          <w:tcPr>
            <w:tcW w:w="784" w:type="dxa"/>
            <w:tcBorders>
              <w:top w:val="single" w:color="auto" w:sz="4" w:space="0"/>
              <w:left w:val="single" w:color="auto" w:sz="6" w:space="0"/>
              <w:bottom w:val="single" w:color="auto" w:sz="4" w:space="0"/>
              <w:right w:val="single" w:color="auto" w:sz="6" w:space="0"/>
            </w:tcBorders>
          </w:tcPr>
          <w:p w14:paraId="4CD8A25F"/>
        </w:tc>
        <w:tc>
          <w:tcPr>
            <w:tcW w:w="898" w:type="dxa"/>
            <w:tcBorders>
              <w:top w:val="single" w:color="auto" w:sz="4" w:space="0"/>
              <w:left w:val="single" w:color="auto" w:sz="6" w:space="0"/>
              <w:bottom w:val="single" w:color="auto" w:sz="4" w:space="0"/>
              <w:right w:val="single" w:color="auto" w:sz="6" w:space="0"/>
            </w:tcBorders>
          </w:tcPr>
          <w:p w14:paraId="28246089"/>
        </w:tc>
        <w:tc>
          <w:tcPr>
            <w:tcW w:w="898" w:type="dxa"/>
            <w:tcBorders>
              <w:top w:val="single" w:color="auto" w:sz="4" w:space="0"/>
              <w:left w:val="single" w:color="auto" w:sz="6" w:space="0"/>
              <w:bottom w:val="single" w:color="auto" w:sz="4" w:space="0"/>
              <w:right w:val="single" w:color="auto" w:sz="6" w:space="0"/>
            </w:tcBorders>
          </w:tcPr>
          <w:p w14:paraId="35EE80A8"/>
        </w:tc>
        <w:tc>
          <w:tcPr>
            <w:tcW w:w="1417" w:type="dxa"/>
            <w:tcBorders>
              <w:top w:val="single" w:color="auto" w:sz="4" w:space="0"/>
              <w:left w:val="single" w:color="auto" w:sz="6" w:space="0"/>
              <w:bottom w:val="single" w:color="auto" w:sz="4" w:space="0"/>
              <w:right w:val="single" w:color="auto" w:sz="4" w:space="0"/>
            </w:tcBorders>
          </w:tcPr>
          <w:p w14:paraId="3FBD4753"/>
        </w:tc>
      </w:tr>
      <w:tr w14:paraId="3A1F443E">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1C4BE461"/>
        </w:tc>
        <w:tc>
          <w:tcPr>
            <w:tcW w:w="1680" w:type="dxa"/>
            <w:tcBorders>
              <w:top w:val="single" w:color="auto" w:sz="4" w:space="0"/>
              <w:left w:val="single" w:color="auto" w:sz="6" w:space="0"/>
              <w:bottom w:val="single" w:color="auto" w:sz="4" w:space="0"/>
              <w:right w:val="single" w:color="auto" w:sz="4" w:space="0"/>
            </w:tcBorders>
          </w:tcPr>
          <w:p w14:paraId="69D8BB96"/>
        </w:tc>
        <w:tc>
          <w:tcPr>
            <w:tcW w:w="1470" w:type="dxa"/>
            <w:tcBorders>
              <w:top w:val="single" w:color="auto" w:sz="4" w:space="0"/>
              <w:left w:val="single" w:color="auto" w:sz="4" w:space="0"/>
              <w:bottom w:val="single" w:color="auto" w:sz="4" w:space="0"/>
              <w:right w:val="single" w:color="auto" w:sz="6" w:space="0"/>
            </w:tcBorders>
          </w:tcPr>
          <w:p w14:paraId="169C6888"/>
        </w:tc>
        <w:tc>
          <w:tcPr>
            <w:tcW w:w="1470" w:type="dxa"/>
            <w:tcBorders>
              <w:top w:val="single" w:color="auto" w:sz="4" w:space="0"/>
              <w:left w:val="single" w:color="auto" w:sz="4" w:space="0"/>
              <w:bottom w:val="single" w:color="auto" w:sz="4" w:space="0"/>
              <w:right w:val="single" w:color="auto" w:sz="6" w:space="0"/>
            </w:tcBorders>
          </w:tcPr>
          <w:p w14:paraId="6C59C5BE"/>
        </w:tc>
        <w:tc>
          <w:tcPr>
            <w:tcW w:w="728" w:type="dxa"/>
            <w:tcBorders>
              <w:top w:val="single" w:color="auto" w:sz="4" w:space="0"/>
              <w:left w:val="single" w:color="auto" w:sz="6" w:space="0"/>
              <w:bottom w:val="single" w:color="auto" w:sz="4" w:space="0"/>
              <w:right w:val="single" w:color="auto" w:sz="6" w:space="0"/>
            </w:tcBorders>
          </w:tcPr>
          <w:p w14:paraId="18918114"/>
        </w:tc>
        <w:tc>
          <w:tcPr>
            <w:tcW w:w="784" w:type="dxa"/>
            <w:tcBorders>
              <w:top w:val="single" w:color="auto" w:sz="4" w:space="0"/>
              <w:left w:val="single" w:color="auto" w:sz="6" w:space="0"/>
              <w:bottom w:val="single" w:color="auto" w:sz="4" w:space="0"/>
              <w:right w:val="single" w:color="auto" w:sz="6" w:space="0"/>
            </w:tcBorders>
          </w:tcPr>
          <w:p w14:paraId="67220695"/>
        </w:tc>
        <w:tc>
          <w:tcPr>
            <w:tcW w:w="898" w:type="dxa"/>
            <w:tcBorders>
              <w:top w:val="single" w:color="auto" w:sz="4" w:space="0"/>
              <w:left w:val="single" w:color="auto" w:sz="6" w:space="0"/>
              <w:bottom w:val="single" w:color="auto" w:sz="4" w:space="0"/>
              <w:right w:val="single" w:color="auto" w:sz="6" w:space="0"/>
            </w:tcBorders>
          </w:tcPr>
          <w:p w14:paraId="3B14CB64"/>
        </w:tc>
        <w:tc>
          <w:tcPr>
            <w:tcW w:w="898" w:type="dxa"/>
            <w:tcBorders>
              <w:top w:val="single" w:color="auto" w:sz="4" w:space="0"/>
              <w:left w:val="single" w:color="auto" w:sz="6" w:space="0"/>
              <w:bottom w:val="single" w:color="auto" w:sz="4" w:space="0"/>
              <w:right w:val="single" w:color="auto" w:sz="6" w:space="0"/>
            </w:tcBorders>
          </w:tcPr>
          <w:p w14:paraId="0DE30B41"/>
        </w:tc>
        <w:tc>
          <w:tcPr>
            <w:tcW w:w="1417" w:type="dxa"/>
            <w:tcBorders>
              <w:top w:val="single" w:color="auto" w:sz="4" w:space="0"/>
              <w:left w:val="single" w:color="auto" w:sz="6" w:space="0"/>
              <w:bottom w:val="single" w:color="auto" w:sz="4" w:space="0"/>
              <w:right w:val="single" w:color="auto" w:sz="4" w:space="0"/>
            </w:tcBorders>
          </w:tcPr>
          <w:p w14:paraId="212B2264"/>
        </w:tc>
      </w:tr>
      <w:tr w14:paraId="658813F8">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74A9C32D"/>
        </w:tc>
        <w:tc>
          <w:tcPr>
            <w:tcW w:w="1680" w:type="dxa"/>
            <w:tcBorders>
              <w:top w:val="single" w:color="auto" w:sz="4" w:space="0"/>
              <w:left w:val="single" w:color="auto" w:sz="6" w:space="0"/>
              <w:bottom w:val="single" w:color="auto" w:sz="4" w:space="0"/>
              <w:right w:val="single" w:color="auto" w:sz="4" w:space="0"/>
            </w:tcBorders>
          </w:tcPr>
          <w:p w14:paraId="5251E568"/>
        </w:tc>
        <w:tc>
          <w:tcPr>
            <w:tcW w:w="1470" w:type="dxa"/>
            <w:tcBorders>
              <w:top w:val="single" w:color="auto" w:sz="4" w:space="0"/>
              <w:left w:val="single" w:color="auto" w:sz="4" w:space="0"/>
              <w:bottom w:val="single" w:color="auto" w:sz="4" w:space="0"/>
              <w:right w:val="single" w:color="auto" w:sz="6" w:space="0"/>
            </w:tcBorders>
          </w:tcPr>
          <w:p w14:paraId="6D2B9A77"/>
        </w:tc>
        <w:tc>
          <w:tcPr>
            <w:tcW w:w="1470" w:type="dxa"/>
            <w:tcBorders>
              <w:top w:val="single" w:color="auto" w:sz="4" w:space="0"/>
              <w:left w:val="single" w:color="auto" w:sz="4" w:space="0"/>
              <w:bottom w:val="single" w:color="auto" w:sz="4" w:space="0"/>
              <w:right w:val="single" w:color="auto" w:sz="6" w:space="0"/>
            </w:tcBorders>
          </w:tcPr>
          <w:p w14:paraId="5E5167F7"/>
        </w:tc>
        <w:tc>
          <w:tcPr>
            <w:tcW w:w="728" w:type="dxa"/>
            <w:tcBorders>
              <w:top w:val="single" w:color="auto" w:sz="4" w:space="0"/>
              <w:left w:val="single" w:color="auto" w:sz="6" w:space="0"/>
              <w:bottom w:val="single" w:color="auto" w:sz="4" w:space="0"/>
              <w:right w:val="single" w:color="auto" w:sz="6" w:space="0"/>
            </w:tcBorders>
          </w:tcPr>
          <w:p w14:paraId="05B5A5E5"/>
        </w:tc>
        <w:tc>
          <w:tcPr>
            <w:tcW w:w="784" w:type="dxa"/>
            <w:tcBorders>
              <w:top w:val="single" w:color="auto" w:sz="4" w:space="0"/>
              <w:left w:val="single" w:color="auto" w:sz="6" w:space="0"/>
              <w:bottom w:val="single" w:color="auto" w:sz="4" w:space="0"/>
              <w:right w:val="single" w:color="auto" w:sz="6" w:space="0"/>
            </w:tcBorders>
          </w:tcPr>
          <w:p w14:paraId="0CC65D1F"/>
        </w:tc>
        <w:tc>
          <w:tcPr>
            <w:tcW w:w="898" w:type="dxa"/>
            <w:tcBorders>
              <w:top w:val="single" w:color="auto" w:sz="4" w:space="0"/>
              <w:left w:val="single" w:color="auto" w:sz="6" w:space="0"/>
              <w:bottom w:val="single" w:color="auto" w:sz="4" w:space="0"/>
              <w:right w:val="single" w:color="auto" w:sz="6" w:space="0"/>
            </w:tcBorders>
          </w:tcPr>
          <w:p w14:paraId="258811A0"/>
        </w:tc>
        <w:tc>
          <w:tcPr>
            <w:tcW w:w="898" w:type="dxa"/>
            <w:tcBorders>
              <w:top w:val="single" w:color="auto" w:sz="4" w:space="0"/>
              <w:left w:val="single" w:color="auto" w:sz="6" w:space="0"/>
              <w:bottom w:val="single" w:color="auto" w:sz="4" w:space="0"/>
              <w:right w:val="single" w:color="auto" w:sz="6" w:space="0"/>
            </w:tcBorders>
          </w:tcPr>
          <w:p w14:paraId="491AD526"/>
        </w:tc>
        <w:tc>
          <w:tcPr>
            <w:tcW w:w="1417" w:type="dxa"/>
            <w:tcBorders>
              <w:top w:val="single" w:color="auto" w:sz="4" w:space="0"/>
              <w:left w:val="single" w:color="auto" w:sz="6" w:space="0"/>
              <w:bottom w:val="single" w:color="auto" w:sz="4" w:space="0"/>
              <w:right w:val="single" w:color="auto" w:sz="4" w:space="0"/>
            </w:tcBorders>
          </w:tcPr>
          <w:p w14:paraId="4EB87AA4"/>
        </w:tc>
      </w:tr>
      <w:tr w14:paraId="12B85DA2">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4E4E15B0"/>
        </w:tc>
        <w:tc>
          <w:tcPr>
            <w:tcW w:w="1680" w:type="dxa"/>
            <w:tcBorders>
              <w:top w:val="single" w:color="auto" w:sz="4" w:space="0"/>
              <w:left w:val="single" w:color="auto" w:sz="6" w:space="0"/>
              <w:bottom w:val="single" w:color="auto" w:sz="4" w:space="0"/>
              <w:right w:val="single" w:color="auto" w:sz="4" w:space="0"/>
            </w:tcBorders>
          </w:tcPr>
          <w:p w14:paraId="419AD589"/>
        </w:tc>
        <w:tc>
          <w:tcPr>
            <w:tcW w:w="1470" w:type="dxa"/>
            <w:tcBorders>
              <w:top w:val="single" w:color="auto" w:sz="4" w:space="0"/>
              <w:left w:val="single" w:color="auto" w:sz="4" w:space="0"/>
              <w:bottom w:val="single" w:color="auto" w:sz="4" w:space="0"/>
              <w:right w:val="single" w:color="auto" w:sz="6" w:space="0"/>
            </w:tcBorders>
          </w:tcPr>
          <w:p w14:paraId="090FE95E"/>
        </w:tc>
        <w:tc>
          <w:tcPr>
            <w:tcW w:w="1470" w:type="dxa"/>
            <w:tcBorders>
              <w:top w:val="single" w:color="auto" w:sz="4" w:space="0"/>
              <w:left w:val="single" w:color="auto" w:sz="4" w:space="0"/>
              <w:bottom w:val="single" w:color="auto" w:sz="4" w:space="0"/>
              <w:right w:val="single" w:color="auto" w:sz="6" w:space="0"/>
            </w:tcBorders>
          </w:tcPr>
          <w:p w14:paraId="534FD500"/>
        </w:tc>
        <w:tc>
          <w:tcPr>
            <w:tcW w:w="728" w:type="dxa"/>
            <w:tcBorders>
              <w:top w:val="single" w:color="auto" w:sz="4" w:space="0"/>
              <w:left w:val="single" w:color="auto" w:sz="6" w:space="0"/>
              <w:bottom w:val="single" w:color="auto" w:sz="4" w:space="0"/>
              <w:right w:val="single" w:color="auto" w:sz="6" w:space="0"/>
            </w:tcBorders>
          </w:tcPr>
          <w:p w14:paraId="504419CD"/>
        </w:tc>
        <w:tc>
          <w:tcPr>
            <w:tcW w:w="784" w:type="dxa"/>
            <w:tcBorders>
              <w:top w:val="single" w:color="auto" w:sz="4" w:space="0"/>
              <w:left w:val="single" w:color="auto" w:sz="6" w:space="0"/>
              <w:bottom w:val="single" w:color="auto" w:sz="4" w:space="0"/>
              <w:right w:val="single" w:color="auto" w:sz="6" w:space="0"/>
            </w:tcBorders>
          </w:tcPr>
          <w:p w14:paraId="38FEBE42"/>
        </w:tc>
        <w:tc>
          <w:tcPr>
            <w:tcW w:w="898" w:type="dxa"/>
            <w:tcBorders>
              <w:top w:val="single" w:color="auto" w:sz="4" w:space="0"/>
              <w:left w:val="single" w:color="auto" w:sz="6" w:space="0"/>
              <w:bottom w:val="single" w:color="auto" w:sz="4" w:space="0"/>
              <w:right w:val="single" w:color="auto" w:sz="6" w:space="0"/>
            </w:tcBorders>
          </w:tcPr>
          <w:p w14:paraId="363EBB57"/>
        </w:tc>
        <w:tc>
          <w:tcPr>
            <w:tcW w:w="898" w:type="dxa"/>
            <w:tcBorders>
              <w:top w:val="single" w:color="auto" w:sz="4" w:space="0"/>
              <w:left w:val="single" w:color="auto" w:sz="6" w:space="0"/>
              <w:bottom w:val="single" w:color="auto" w:sz="4" w:space="0"/>
              <w:right w:val="single" w:color="auto" w:sz="6" w:space="0"/>
            </w:tcBorders>
          </w:tcPr>
          <w:p w14:paraId="11E6D108"/>
        </w:tc>
        <w:tc>
          <w:tcPr>
            <w:tcW w:w="1417" w:type="dxa"/>
            <w:tcBorders>
              <w:top w:val="single" w:color="auto" w:sz="4" w:space="0"/>
              <w:left w:val="single" w:color="auto" w:sz="6" w:space="0"/>
              <w:bottom w:val="single" w:color="auto" w:sz="4" w:space="0"/>
              <w:right w:val="single" w:color="auto" w:sz="4" w:space="0"/>
            </w:tcBorders>
          </w:tcPr>
          <w:p w14:paraId="06CDB02E"/>
        </w:tc>
      </w:tr>
      <w:tr w14:paraId="39095D91">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18415F4E"/>
        </w:tc>
        <w:tc>
          <w:tcPr>
            <w:tcW w:w="1680" w:type="dxa"/>
            <w:tcBorders>
              <w:top w:val="single" w:color="auto" w:sz="4" w:space="0"/>
              <w:left w:val="single" w:color="auto" w:sz="6" w:space="0"/>
              <w:bottom w:val="single" w:color="auto" w:sz="4" w:space="0"/>
              <w:right w:val="single" w:color="auto" w:sz="4" w:space="0"/>
            </w:tcBorders>
          </w:tcPr>
          <w:p w14:paraId="4336B3A0"/>
        </w:tc>
        <w:tc>
          <w:tcPr>
            <w:tcW w:w="1470" w:type="dxa"/>
            <w:tcBorders>
              <w:top w:val="single" w:color="auto" w:sz="4" w:space="0"/>
              <w:left w:val="single" w:color="auto" w:sz="4" w:space="0"/>
              <w:bottom w:val="single" w:color="auto" w:sz="4" w:space="0"/>
              <w:right w:val="single" w:color="auto" w:sz="6" w:space="0"/>
            </w:tcBorders>
          </w:tcPr>
          <w:p w14:paraId="14B8C185"/>
        </w:tc>
        <w:tc>
          <w:tcPr>
            <w:tcW w:w="1470" w:type="dxa"/>
            <w:tcBorders>
              <w:top w:val="single" w:color="auto" w:sz="4" w:space="0"/>
              <w:left w:val="single" w:color="auto" w:sz="4" w:space="0"/>
              <w:bottom w:val="single" w:color="auto" w:sz="4" w:space="0"/>
              <w:right w:val="single" w:color="auto" w:sz="6" w:space="0"/>
            </w:tcBorders>
          </w:tcPr>
          <w:p w14:paraId="5A1C4D9A"/>
        </w:tc>
        <w:tc>
          <w:tcPr>
            <w:tcW w:w="728" w:type="dxa"/>
            <w:tcBorders>
              <w:top w:val="single" w:color="auto" w:sz="4" w:space="0"/>
              <w:left w:val="single" w:color="auto" w:sz="6" w:space="0"/>
              <w:bottom w:val="single" w:color="auto" w:sz="4" w:space="0"/>
              <w:right w:val="single" w:color="auto" w:sz="6" w:space="0"/>
            </w:tcBorders>
          </w:tcPr>
          <w:p w14:paraId="3C9C0480"/>
        </w:tc>
        <w:tc>
          <w:tcPr>
            <w:tcW w:w="784" w:type="dxa"/>
            <w:tcBorders>
              <w:top w:val="single" w:color="auto" w:sz="4" w:space="0"/>
              <w:left w:val="single" w:color="auto" w:sz="6" w:space="0"/>
              <w:bottom w:val="single" w:color="auto" w:sz="4" w:space="0"/>
              <w:right w:val="single" w:color="auto" w:sz="6" w:space="0"/>
            </w:tcBorders>
          </w:tcPr>
          <w:p w14:paraId="3AA82B2E"/>
        </w:tc>
        <w:tc>
          <w:tcPr>
            <w:tcW w:w="898" w:type="dxa"/>
            <w:tcBorders>
              <w:top w:val="single" w:color="auto" w:sz="4" w:space="0"/>
              <w:left w:val="single" w:color="auto" w:sz="6" w:space="0"/>
              <w:bottom w:val="single" w:color="auto" w:sz="4" w:space="0"/>
              <w:right w:val="single" w:color="auto" w:sz="6" w:space="0"/>
            </w:tcBorders>
          </w:tcPr>
          <w:p w14:paraId="42D60C4D"/>
        </w:tc>
        <w:tc>
          <w:tcPr>
            <w:tcW w:w="898" w:type="dxa"/>
            <w:tcBorders>
              <w:top w:val="single" w:color="auto" w:sz="4" w:space="0"/>
              <w:left w:val="single" w:color="auto" w:sz="6" w:space="0"/>
              <w:bottom w:val="single" w:color="auto" w:sz="4" w:space="0"/>
              <w:right w:val="single" w:color="auto" w:sz="6" w:space="0"/>
            </w:tcBorders>
          </w:tcPr>
          <w:p w14:paraId="0E25FBD3"/>
        </w:tc>
        <w:tc>
          <w:tcPr>
            <w:tcW w:w="1417" w:type="dxa"/>
            <w:tcBorders>
              <w:top w:val="single" w:color="auto" w:sz="4" w:space="0"/>
              <w:left w:val="single" w:color="auto" w:sz="6" w:space="0"/>
              <w:bottom w:val="single" w:color="auto" w:sz="4" w:space="0"/>
              <w:right w:val="single" w:color="auto" w:sz="4" w:space="0"/>
            </w:tcBorders>
          </w:tcPr>
          <w:p w14:paraId="41763C08"/>
        </w:tc>
      </w:tr>
      <w:tr w14:paraId="38F11ECE">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794B8EAD"/>
        </w:tc>
        <w:tc>
          <w:tcPr>
            <w:tcW w:w="1680" w:type="dxa"/>
            <w:tcBorders>
              <w:top w:val="single" w:color="auto" w:sz="4" w:space="0"/>
              <w:left w:val="single" w:color="auto" w:sz="6" w:space="0"/>
              <w:bottom w:val="single" w:color="auto" w:sz="4" w:space="0"/>
              <w:right w:val="single" w:color="auto" w:sz="4" w:space="0"/>
            </w:tcBorders>
          </w:tcPr>
          <w:p w14:paraId="394A8C66"/>
        </w:tc>
        <w:tc>
          <w:tcPr>
            <w:tcW w:w="1470" w:type="dxa"/>
            <w:tcBorders>
              <w:top w:val="single" w:color="auto" w:sz="4" w:space="0"/>
              <w:left w:val="single" w:color="auto" w:sz="4" w:space="0"/>
              <w:bottom w:val="single" w:color="auto" w:sz="4" w:space="0"/>
              <w:right w:val="single" w:color="auto" w:sz="6" w:space="0"/>
            </w:tcBorders>
          </w:tcPr>
          <w:p w14:paraId="14323011"/>
        </w:tc>
        <w:tc>
          <w:tcPr>
            <w:tcW w:w="1470" w:type="dxa"/>
            <w:tcBorders>
              <w:top w:val="single" w:color="auto" w:sz="4" w:space="0"/>
              <w:left w:val="single" w:color="auto" w:sz="4" w:space="0"/>
              <w:bottom w:val="single" w:color="auto" w:sz="4" w:space="0"/>
              <w:right w:val="single" w:color="auto" w:sz="6" w:space="0"/>
            </w:tcBorders>
          </w:tcPr>
          <w:p w14:paraId="2C8D6D1B"/>
        </w:tc>
        <w:tc>
          <w:tcPr>
            <w:tcW w:w="728" w:type="dxa"/>
            <w:tcBorders>
              <w:top w:val="single" w:color="auto" w:sz="4" w:space="0"/>
              <w:left w:val="single" w:color="auto" w:sz="6" w:space="0"/>
              <w:bottom w:val="single" w:color="auto" w:sz="4" w:space="0"/>
              <w:right w:val="single" w:color="auto" w:sz="6" w:space="0"/>
            </w:tcBorders>
          </w:tcPr>
          <w:p w14:paraId="7436D7FD"/>
        </w:tc>
        <w:tc>
          <w:tcPr>
            <w:tcW w:w="784" w:type="dxa"/>
            <w:tcBorders>
              <w:top w:val="single" w:color="auto" w:sz="4" w:space="0"/>
              <w:left w:val="single" w:color="auto" w:sz="6" w:space="0"/>
              <w:bottom w:val="single" w:color="auto" w:sz="4" w:space="0"/>
              <w:right w:val="single" w:color="auto" w:sz="6" w:space="0"/>
            </w:tcBorders>
          </w:tcPr>
          <w:p w14:paraId="50A51EB7"/>
        </w:tc>
        <w:tc>
          <w:tcPr>
            <w:tcW w:w="898" w:type="dxa"/>
            <w:tcBorders>
              <w:top w:val="single" w:color="auto" w:sz="4" w:space="0"/>
              <w:left w:val="single" w:color="auto" w:sz="6" w:space="0"/>
              <w:bottom w:val="single" w:color="auto" w:sz="4" w:space="0"/>
              <w:right w:val="single" w:color="auto" w:sz="6" w:space="0"/>
            </w:tcBorders>
          </w:tcPr>
          <w:p w14:paraId="0D7D5345"/>
        </w:tc>
        <w:tc>
          <w:tcPr>
            <w:tcW w:w="898" w:type="dxa"/>
            <w:tcBorders>
              <w:top w:val="single" w:color="auto" w:sz="4" w:space="0"/>
              <w:left w:val="single" w:color="auto" w:sz="6" w:space="0"/>
              <w:bottom w:val="single" w:color="auto" w:sz="4" w:space="0"/>
              <w:right w:val="single" w:color="auto" w:sz="6" w:space="0"/>
            </w:tcBorders>
          </w:tcPr>
          <w:p w14:paraId="3745785C"/>
        </w:tc>
        <w:tc>
          <w:tcPr>
            <w:tcW w:w="1417" w:type="dxa"/>
            <w:tcBorders>
              <w:top w:val="single" w:color="auto" w:sz="4" w:space="0"/>
              <w:left w:val="single" w:color="auto" w:sz="6" w:space="0"/>
              <w:bottom w:val="single" w:color="auto" w:sz="4" w:space="0"/>
              <w:right w:val="single" w:color="auto" w:sz="4" w:space="0"/>
            </w:tcBorders>
          </w:tcPr>
          <w:p w14:paraId="7111D55D"/>
        </w:tc>
      </w:tr>
      <w:tr w14:paraId="37D1DEC6">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5AEB4E68"/>
        </w:tc>
        <w:tc>
          <w:tcPr>
            <w:tcW w:w="1680" w:type="dxa"/>
            <w:tcBorders>
              <w:top w:val="single" w:color="auto" w:sz="4" w:space="0"/>
              <w:left w:val="single" w:color="auto" w:sz="6" w:space="0"/>
              <w:bottom w:val="single" w:color="auto" w:sz="4" w:space="0"/>
              <w:right w:val="single" w:color="auto" w:sz="4" w:space="0"/>
            </w:tcBorders>
          </w:tcPr>
          <w:p w14:paraId="41F73186"/>
        </w:tc>
        <w:tc>
          <w:tcPr>
            <w:tcW w:w="1470" w:type="dxa"/>
            <w:tcBorders>
              <w:top w:val="single" w:color="auto" w:sz="4" w:space="0"/>
              <w:left w:val="single" w:color="auto" w:sz="4" w:space="0"/>
              <w:bottom w:val="single" w:color="auto" w:sz="4" w:space="0"/>
              <w:right w:val="single" w:color="auto" w:sz="6" w:space="0"/>
            </w:tcBorders>
          </w:tcPr>
          <w:p w14:paraId="427480CE"/>
        </w:tc>
        <w:tc>
          <w:tcPr>
            <w:tcW w:w="1470" w:type="dxa"/>
            <w:tcBorders>
              <w:top w:val="single" w:color="auto" w:sz="4" w:space="0"/>
              <w:left w:val="single" w:color="auto" w:sz="4" w:space="0"/>
              <w:bottom w:val="single" w:color="auto" w:sz="4" w:space="0"/>
              <w:right w:val="single" w:color="auto" w:sz="6" w:space="0"/>
            </w:tcBorders>
          </w:tcPr>
          <w:p w14:paraId="522A0DE6"/>
        </w:tc>
        <w:tc>
          <w:tcPr>
            <w:tcW w:w="728" w:type="dxa"/>
            <w:tcBorders>
              <w:top w:val="single" w:color="auto" w:sz="4" w:space="0"/>
              <w:left w:val="single" w:color="auto" w:sz="6" w:space="0"/>
              <w:bottom w:val="single" w:color="auto" w:sz="4" w:space="0"/>
              <w:right w:val="single" w:color="auto" w:sz="6" w:space="0"/>
            </w:tcBorders>
          </w:tcPr>
          <w:p w14:paraId="062E9CA6"/>
        </w:tc>
        <w:tc>
          <w:tcPr>
            <w:tcW w:w="784" w:type="dxa"/>
            <w:tcBorders>
              <w:top w:val="single" w:color="auto" w:sz="4" w:space="0"/>
              <w:left w:val="single" w:color="auto" w:sz="6" w:space="0"/>
              <w:bottom w:val="single" w:color="auto" w:sz="4" w:space="0"/>
              <w:right w:val="single" w:color="auto" w:sz="6" w:space="0"/>
            </w:tcBorders>
          </w:tcPr>
          <w:p w14:paraId="7FCBFA46"/>
        </w:tc>
        <w:tc>
          <w:tcPr>
            <w:tcW w:w="898" w:type="dxa"/>
            <w:tcBorders>
              <w:top w:val="single" w:color="auto" w:sz="4" w:space="0"/>
              <w:left w:val="single" w:color="auto" w:sz="6" w:space="0"/>
              <w:bottom w:val="single" w:color="auto" w:sz="4" w:space="0"/>
              <w:right w:val="single" w:color="auto" w:sz="6" w:space="0"/>
            </w:tcBorders>
          </w:tcPr>
          <w:p w14:paraId="71A5A273"/>
        </w:tc>
        <w:tc>
          <w:tcPr>
            <w:tcW w:w="898" w:type="dxa"/>
            <w:tcBorders>
              <w:top w:val="single" w:color="auto" w:sz="4" w:space="0"/>
              <w:left w:val="single" w:color="auto" w:sz="6" w:space="0"/>
              <w:bottom w:val="single" w:color="auto" w:sz="4" w:space="0"/>
              <w:right w:val="single" w:color="auto" w:sz="6" w:space="0"/>
            </w:tcBorders>
          </w:tcPr>
          <w:p w14:paraId="53706F5E"/>
        </w:tc>
        <w:tc>
          <w:tcPr>
            <w:tcW w:w="1417" w:type="dxa"/>
            <w:tcBorders>
              <w:top w:val="single" w:color="auto" w:sz="4" w:space="0"/>
              <w:left w:val="single" w:color="auto" w:sz="6" w:space="0"/>
              <w:bottom w:val="single" w:color="auto" w:sz="4" w:space="0"/>
              <w:right w:val="single" w:color="auto" w:sz="4" w:space="0"/>
            </w:tcBorders>
          </w:tcPr>
          <w:p w14:paraId="4B6C4723"/>
        </w:tc>
      </w:tr>
      <w:tr w14:paraId="08A83690">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1CACF75D"/>
        </w:tc>
        <w:tc>
          <w:tcPr>
            <w:tcW w:w="1680" w:type="dxa"/>
            <w:tcBorders>
              <w:top w:val="single" w:color="auto" w:sz="4" w:space="0"/>
              <w:left w:val="single" w:color="auto" w:sz="6" w:space="0"/>
              <w:bottom w:val="single" w:color="auto" w:sz="4" w:space="0"/>
              <w:right w:val="single" w:color="auto" w:sz="4" w:space="0"/>
            </w:tcBorders>
          </w:tcPr>
          <w:p w14:paraId="2383B886"/>
        </w:tc>
        <w:tc>
          <w:tcPr>
            <w:tcW w:w="1470" w:type="dxa"/>
            <w:tcBorders>
              <w:top w:val="single" w:color="auto" w:sz="4" w:space="0"/>
              <w:left w:val="single" w:color="auto" w:sz="4" w:space="0"/>
              <w:bottom w:val="single" w:color="auto" w:sz="4" w:space="0"/>
              <w:right w:val="single" w:color="auto" w:sz="6" w:space="0"/>
            </w:tcBorders>
          </w:tcPr>
          <w:p w14:paraId="3384C299"/>
        </w:tc>
        <w:tc>
          <w:tcPr>
            <w:tcW w:w="1470" w:type="dxa"/>
            <w:tcBorders>
              <w:top w:val="single" w:color="auto" w:sz="4" w:space="0"/>
              <w:left w:val="single" w:color="auto" w:sz="4" w:space="0"/>
              <w:bottom w:val="single" w:color="auto" w:sz="4" w:space="0"/>
              <w:right w:val="single" w:color="auto" w:sz="6" w:space="0"/>
            </w:tcBorders>
          </w:tcPr>
          <w:p w14:paraId="6470E5CB"/>
        </w:tc>
        <w:tc>
          <w:tcPr>
            <w:tcW w:w="728" w:type="dxa"/>
            <w:tcBorders>
              <w:top w:val="single" w:color="auto" w:sz="4" w:space="0"/>
              <w:left w:val="single" w:color="auto" w:sz="6" w:space="0"/>
              <w:bottom w:val="single" w:color="auto" w:sz="4" w:space="0"/>
              <w:right w:val="single" w:color="auto" w:sz="6" w:space="0"/>
            </w:tcBorders>
          </w:tcPr>
          <w:p w14:paraId="78721E02"/>
        </w:tc>
        <w:tc>
          <w:tcPr>
            <w:tcW w:w="784" w:type="dxa"/>
            <w:tcBorders>
              <w:top w:val="single" w:color="auto" w:sz="4" w:space="0"/>
              <w:left w:val="single" w:color="auto" w:sz="6" w:space="0"/>
              <w:bottom w:val="single" w:color="auto" w:sz="4" w:space="0"/>
              <w:right w:val="single" w:color="auto" w:sz="6" w:space="0"/>
            </w:tcBorders>
          </w:tcPr>
          <w:p w14:paraId="34ED42AA"/>
        </w:tc>
        <w:tc>
          <w:tcPr>
            <w:tcW w:w="898" w:type="dxa"/>
            <w:tcBorders>
              <w:top w:val="single" w:color="auto" w:sz="4" w:space="0"/>
              <w:left w:val="single" w:color="auto" w:sz="6" w:space="0"/>
              <w:bottom w:val="single" w:color="auto" w:sz="4" w:space="0"/>
              <w:right w:val="single" w:color="auto" w:sz="6" w:space="0"/>
            </w:tcBorders>
          </w:tcPr>
          <w:p w14:paraId="2D2454E5"/>
        </w:tc>
        <w:tc>
          <w:tcPr>
            <w:tcW w:w="898" w:type="dxa"/>
            <w:tcBorders>
              <w:top w:val="single" w:color="auto" w:sz="4" w:space="0"/>
              <w:left w:val="single" w:color="auto" w:sz="6" w:space="0"/>
              <w:bottom w:val="single" w:color="auto" w:sz="4" w:space="0"/>
              <w:right w:val="single" w:color="auto" w:sz="6" w:space="0"/>
            </w:tcBorders>
          </w:tcPr>
          <w:p w14:paraId="0AA3072B"/>
        </w:tc>
        <w:tc>
          <w:tcPr>
            <w:tcW w:w="1417" w:type="dxa"/>
            <w:tcBorders>
              <w:top w:val="single" w:color="auto" w:sz="4" w:space="0"/>
              <w:left w:val="single" w:color="auto" w:sz="6" w:space="0"/>
              <w:bottom w:val="single" w:color="auto" w:sz="4" w:space="0"/>
              <w:right w:val="single" w:color="auto" w:sz="4" w:space="0"/>
            </w:tcBorders>
          </w:tcPr>
          <w:p w14:paraId="0CA81373"/>
        </w:tc>
      </w:tr>
      <w:tr w14:paraId="131EEC38">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67087511"/>
        </w:tc>
        <w:tc>
          <w:tcPr>
            <w:tcW w:w="1680" w:type="dxa"/>
            <w:tcBorders>
              <w:top w:val="single" w:color="auto" w:sz="4" w:space="0"/>
              <w:left w:val="single" w:color="auto" w:sz="6" w:space="0"/>
              <w:bottom w:val="single" w:color="auto" w:sz="4" w:space="0"/>
              <w:right w:val="single" w:color="auto" w:sz="4" w:space="0"/>
            </w:tcBorders>
          </w:tcPr>
          <w:p w14:paraId="163AB7DC"/>
        </w:tc>
        <w:tc>
          <w:tcPr>
            <w:tcW w:w="1470" w:type="dxa"/>
            <w:tcBorders>
              <w:top w:val="single" w:color="auto" w:sz="4" w:space="0"/>
              <w:left w:val="single" w:color="auto" w:sz="4" w:space="0"/>
              <w:bottom w:val="single" w:color="auto" w:sz="4" w:space="0"/>
              <w:right w:val="single" w:color="auto" w:sz="6" w:space="0"/>
            </w:tcBorders>
          </w:tcPr>
          <w:p w14:paraId="14CE9A21"/>
        </w:tc>
        <w:tc>
          <w:tcPr>
            <w:tcW w:w="1470" w:type="dxa"/>
            <w:tcBorders>
              <w:top w:val="single" w:color="auto" w:sz="4" w:space="0"/>
              <w:left w:val="single" w:color="auto" w:sz="4" w:space="0"/>
              <w:bottom w:val="single" w:color="auto" w:sz="4" w:space="0"/>
              <w:right w:val="single" w:color="auto" w:sz="6" w:space="0"/>
            </w:tcBorders>
          </w:tcPr>
          <w:p w14:paraId="7D51165F"/>
        </w:tc>
        <w:tc>
          <w:tcPr>
            <w:tcW w:w="728" w:type="dxa"/>
            <w:tcBorders>
              <w:top w:val="single" w:color="auto" w:sz="4" w:space="0"/>
              <w:left w:val="single" w:color="auto" w:sz="6" w:space="0"/>
              <w:bottom w:val="single" w:color="auto" w:sz="4" w:space="0"/>
              <w:right w:val="single" w:color="auto" w:sz="6" w:space="0"/>
            </w:tcBorders>
          </w:tcPr>
          <w:p w14:paraId="2BEE41AE"/>
        </w:tc>
        <w:tc>
          <w:tcPr>
            <w:tcW w:w="784" w:type="dxa"/>
            <w:tcBorders>
              <w:top w:val="single" w:color="auto" w:sz="4" w:space="0"/>
              <w:left w:val="single" w:color="auto" w:sz="6" w:space="0"/>
              <w:bottom w:val="single" w:color="auto" w:sz="4" w:space="0"/>
              <w:right w:val="single" w:color="auto" w:sz="6" w:space="0"/>
            </w:tcBorders>
          </w:tcPr>
          <w:p w14:paraId="2F0969FE"/>
        </w:tc>
        <w:tc>
          <w:tcPr>
            <w:tcW w:w="898" w:type="dxa"/>
            <w:tcBorders>
              <w:top w:val="single" w:color="auto" w:sz="4" w:space="0"/>
              <w:left w:val="single" w:color="auto" w:sz="6" w:space="0"/>
              <w:bottom w:val="single" w:color="auto" w:sz="4" w:space="0"/>
              <w:right w:val="single" w:color="auto" w:sz="6" w:space="0"/>
            </w:tcBorders>
          </w:tcPr>
          <w:p w14:paraId="2D485CA9"/>
        </w:tc>
        <w:tc>
          <w:tcPr>
            <w:tcW w:w="898" w:type="dxa"/>
            <w:tcBorders>
              <w:top w:val="single" w:color="auto" w:sz="4" w:space="0"/>
              <w:left w:val="single" w:color="auto" w:sz="6" w:space="0"/>
              <w:bottom w:val="single" w:color="auto" w:sz="4" w:space="0"/>
              <w:right w:val="single" w:color="auto" w:sz="6" w:space="0"/>
            </w:tcBorders>
          </w:tcPr>
          <w:p w14:paraId="39EE46CE"/>
        </w:tc>
        <w:tc>
          <w:tcPr>
            <w:tcW w:w="1417" w:type="dxa"/>
            <w:tcBorders>
              <w:top w:val="single" w:color="auto" w:sz="4" w:space="0"/>
              <w:left w:val="single" w:color="auto" w:sz="6" w:space="0"/>
              <w:bottom w:val="single" w:color="auto" w:sz="4" w:space="0"/>
              <w:right w:val="single" w:color="auto" w:sz="4" w:space="0"/>
            </w:tcBorders>
          </w:tcPr>
          <w:p w14:paraId="013450B0"/>
        </w:tc>
      </w:tr>
      <w:tr w14:paraId="16C906EC">
        <w:tblPrEx>
          <w:tblCellMar>
            <w:top w:w="0" w:type="dxa"/>
            <w:left w:w="108" w:type="dxa"/>
            <w:bottom w:w="0" w:type="dxa"/>
            <w:right w:w="108" w:type="dxa"/>
          </w:tblCellMar>
        </w:tblPrEx>
        <w:trPr>
          <w:cantSplit/>
          <w:trHeight w:val="655" w:hRule="atLeast"/>
          <w:jc w:val="center"/>
        </w:trPr>
        <w:tc>
          <w:tcPr>
            <w:tcW w:w="735" w:type="dxa"/>
            <w:tcBorders>
              <w:top w:val="single" w:color="auto" w:sz="4" w:space="0"/>
              <w:left w:val="single" w:color="auto" w:sz="4" w:space="0"/>
              <w:bottom w:val="single" w:color="auto" w:sz="4" w:space="0"/>
              <w:right w:val="single" w:color="auto" w:sz="6" w:space="0"/>
            </w:tcBorders>
          </w:tcPr>
          <w:p w14:paraId="1C3146D1"/>
        </w:tc>
        <w:tc>
          <w:tcPr>
            <w:tcW w:w="1680" w:type="dxa"/>
            <w:tcBorders>
              <w:top w:val="single" w:color="auto" w:sz="4" w:space="0"/>
              <w:left w:val="single" w:color="auto" w:sz="6" w:space="0"/>
              <w:bottom w:val="single" w:color="auto" w:sz="4" w:space="0"/>
              <w:right w:val="single" w:color="auto" w:sz="4" w:space="0"/>
            </w:tcBorders>
          </w:tcPr>
          <w:p w14:paraId="13DE2167"/>
        </w:tc>
        <w:tc>
          <w:tcPr>
            <w:tcW w:w="1470" w:type="dxa"/>
            <w:tcBorders>
              <w:top w:val="single" w:color="auto" w:sz="4" w:space="0"/>
              <w:left w:val="single" w:color="auto" w:sz="4" w:space="0"/>
              <w:bottom w:val="single" w:color="auto" w:sz="4" w:space="0"/>
              <w:right w:val="single" w:color="auto" w:sz="6" w:space="0"/>
            </w:tcBorders>
          </w:tcPr>
          <w:p w14:paraId="1DE30189"/>
        </w:tc>
        <w:tc>
          <w:tcPr>
            <w:tcW w:w="1470" w:type="dxa"/>
            <w:tcBorders>
              <w:top w:val="single" w:color="auto" w:sz="4" w:space="0"/>
              <w:left w:val="single" w:color="auto" w:sz="4" w:space="0"/>
              <w:bottom w:val="single" w:color="auto" w:sz="4" w:space="0"/>
              <w:right w:val="single" w:color="auto" w:sz="6" w:space="0"/>
            </w:tcBorders>
          </w:tcPr>
          <w:p w14:paraId="638F1BA1"/>
        </w:tc>
        <w:tc>
          <w:tcPr>
            <w:tcW w:w="728" w:type="dxa"/>
            <w:tcBorders>
              <w:top w:val="single" w:color="auto" w:sz="4" w:space="0"/>
              <w:left w:val="single" w:color="auto" w:sz="6" w:space="0"/>
              <w:bottom w:val="single" w:color="auto" w:sz="4" w:space="0"/>
              <w:right w:val="single" w:color="auto" w:sz="6" w:space="0"/>
            </w:tcBorders>
          </w:tcPr>
          <w:p w14:paraId="43BF3A8B"/>
        </w:tc>
        <w:tc>
          <w:tcPr>
            <w:tcW w:w="784" w:type="dxa"/>
            <w:tcBorders>
              <w:top w:val="single" w:color="auto" w:sz="4" w:space="0"/>
              <w:left w:val="single" w:color="auto" w:sz="6" w:space="0"/>
              <w:bottom w:val="single" w:color="auto" w:sz="4" w:space="0"/>
              <w:right w:val="single" w:color="auto" w:sz="6" w:space="0"/>
            </w:tcBorders>
          </w:tcPr>
          <w:p w14:paraId="6E1BC46F"/>
        </w:tc>
        <w:tc>
          <w:tcPr>
            <w:tcW w:w="898" w:type="dxa"/>
            <w:tcBorders>
              <w:top w:val="single" w:color="auto" w:sz="4" w:space="0"/>
              <w:left w:val="single" w:color="auto" w:sz="6" w:space="0"/>
              <w:bottom w:val="single" w:color="auto" w:sz="4" w:space="0"/>
              <w:right w:val="single" w:color="auto" w:sz="6" w:space="0"/>
            </w:tcBorders>
          </w:tcPr>
          <w:p w14:paraId="686B97FC"/>
        </w:tc>
        <w:tc>
          <w:tcPr>
            <w:tcW w:w="898" w:type="dxa"/>
            <w:tcBorders>
              <w:top w:val="single" w:color="auto" w:sz="4" w:space="0"/>
              <w:left w:val="single" w:color="auto" w:sz="6" w:space="0"/>
              <w:bottom w:val="single" w:color="auto" w:sz="4" w:space="0"/>
              <w:right w:val="single" w:color="auto" w:sz="6" w:space="0"/>
            </w:tcBorders>
          </w:tcPr>
          <w:p w14:paraId="3109A88C"/>
        </w:tc>
        <w:tc>
          <w:tcPr>
            <w:tcW w:w="1417" w:type="dxa"/>
            <w:tcBorders>
              <w:top w:val="single" w:color="auto" w:sz="4" w:space="0"/>
              <w:left w:val="single" w:color="auto" w:sz="6" w:space="0"/>
              <w:bottom w:val="single" w:color="auto" w:sz="4" w:space="0"/>
              <w:right w:val="single" w:color="auto" w:sz="4" w:space="0"/>
            </w:tcBorders>
          </w:tcPr>
          <w:p w14:paraId="3DBCE0EC"/>
        </w:tc>
      </w:tr>
      <w:tr w14:paraId="33F003A0">
        <w:tblPrEx>
          <w:tblCellMar>
            <w:top w:w="0" w:type="dxa"/>
            <w:left w:w="108" w:type="dxa"/>
            <w:bottom w:w="0" w:type="dxa"/>
            <w:right w:w="108" w:type="dxa"/>
          </w:tblCellMar>
        </w:tblPrEx>
        <w:trPr>
          <w:cantSplit/>
          <w:trHeight w:val="655" w:hRule="atLeast"/>
          <w:jc w:val="center"/>
        </w:trPr>
        <w:tc>
          <w:tcPr>
            <w:tcW w:w="7765" w:type="dxa"/>
            <w:gridSpan w:val="7"/>
            <w:tcBorders>
              <w:top w:val="single" w:color="auto" w:sz="4" w:space="0"/>
              <w:left w:val="single" w:color="auto" w:sz="4" w:space="0"/>
              <w:bottom w:val="single" w:color="auto" w:sz="4" w:space="0"/>
              <w:right w:val="single" w:color="auto" w:sz="6" w:space="0"/>
            </w:tcBorders>
            <w:vAlign w:val="center"/>
          </w:tcPr>
          <w:p w14:paraId="6089C900">
            <w:r>
              <w:rPr>
                <w:rFonts w:hint="eastAsia"/>
              </w:rPr>
              <w:t>投标报价报价汇总</w:t>
            </w:r>
          </w:p>
        </w:tc>
        <w:tc>
          <w:tcPr>
            <w:tcW w:w="2315" w:type="dxa"/>
            <w:gridSpan w:val="2"/>
            <w:tcBorders>
              <w:top w:val="single" w:color="auto" w:sz="4" w:space="0"/>
              <w:left w:val="single" w:color="auto" w:sz="6" w:space="0"/>
              <w:bottom w:val="single" w:color="auto" w:sz="4" w:space="0"/>
              <w:right w:val="single" w:color="auto" w:sz="4" w:space="0"/>
            </w:tcBorders>
            <w:vAlign w:val="center"/>
          </w:tcPr>
          <w:p w14:paraId="6D9A990B"/>
        </w:tc>
      </w:tr>
    </w:tbl>
    <w:p w14:paraId="5A835D86"/>
    <w:p w14:paraId="4F1D5F14">
      <w:pPr>
        <w:pStyle w:val="162"/>
        <w:ind w:firstLine="480"/>
        <w:rPr>
          <w:rFonts w:hAnsi="宋体" w:cs="Angsana New"/>
          <w:sz w:val="24"/>
          <w:szCs w:val="24"/>
          <w:lang w:bidi="th-TH"/>
        </w:rPr>
      </w:pPr>
      <w:r>
        <w:rPr>
          <w:rFonts w:hint="eastAsia" w:hAnsi="宋体" w:cs="Angsana New"/>
          <w:sz w:val="24"/>
          <w:szCs w:val="24"/>
          <w:lang w:bidi="th-TH"/>
        </w:rPr>
        <w:t xml:space="preserve">投标人(公章)：                                  </w:t>
      </w:r>
    </w:p>
    <w:p w14:paraId="4466BA6A">
      <w:pPr>
        <w:pStyle w:val="162"/>
        <w:ind w:firstLine="480"/>
        <w:rPr>
          <w:rFonts w:hAnsi="宋体" w:cs="Angsana New"/>
          <w:sz w:val="24"/>
          <w:szCs w:val="24"/>
          <w:lang w:bidi="th-TH"/>
        </w:rPr>
      </w:pPr>
      <w:r>
        <w:rPr>
          <w:rFonts w:hint="eastAsia" w:hAnsi="宋体" w:cs="Angsana New"/>
          <w:sz w:val="24"/>
          <w:szCs w:val="24"/>
          <w:lang w:bidi="th-TH"/>
        </w:rPr>
        <w:t xml:space="preserve">法人代表或授权委托人（签字或印章）：             </w:t>
      </w:r>
    </w:p>
    <w:p w14:paraId="572F8217">
      <w:pPr>
        <w:pStyle w:val="162"/>
        <w:ind w:firstLine="480"/>
      </w:pPr>
      <w:r>
        <w:rPr>
          <w:rFonts w:hint="eastAsia" w:hAnsi="宋体" w:cs="Angsana New"/>
          <w:sz w:val="24"/>
          <w:szCs w:val="24"/>
          <w:lang w:bidi="th-TH"/>
        </w:rPr>
        <w:t xml:space="preserve">日 期：   </w:t>
      </w:r>
      <w:r>
        <w:rPr>
          <w:rFonts w:hint="eastAsia"/>
        </w:rPr>
        <w:t xml:space="preserve">                                             </w:t>
      </w:r>
    </w:p>
    <w:p w14:paraId="585B2BCD">
      <w:pPr>
        <w:pStyle w:val="25"/>
        <w:ind w:firstLine="560"/>
        <w:rPr>
          <w:lang w:bidi="th-TH"/>
        </w:rPr>
      </w:pPr>
      <w:r>
        <w:rPr>
          <w:rFonts w:hint="eastAsia"/>
        </w:rPr>
        <w:br w:type="page"/>
      </w:r>
      <w:r>
        <w:rPr>
          <w:rFonts w:hint="eastAsia" w:hAnsi="宋体" w:eastAsia="宋体" w:cs="Angsana New"/>
          <w:sz w:val="24"/>
          <w:szCs w:val="24"/>
          <w:lang w:bidi="th-TH"/>
        </w:rPr>
        <w:t>格式五：</w:t>
      </w:r>
    </w:p>
    <w:p w14:paraId="4951399D">
      <w:pPr>
        <w:snapToGrid w:val="0"/>
        <w:spacing w:line="480" w:lineRule="exact"/>
        <w:ind w:firstLine="562"/>
        <w:jc w:val="center"/>
        <w:outlineLvl w:val="0"/>
        <w:rPr>
          <w:rFonts w:ascii="宋体" w:hAnsi="宋体"/>
          <w:b/>
          <w:sz w:val="28"/>
          <w:szCs w:val="28"/>
        </w:rPr>
      </w:pPr>
      <w:bookmarkStart w:id="461" w:name="_Toc18738"/>
      <w:r>
        <w:rPr>
          <w:rFonts w:hint="eastAsia" w:ascii="宋体" w:hAnsi="宋体"/>
          <w:b/>
          <w:sz w:val="28"/>
          <w:szCs w:val="28"/>
        </w:rPr>
        <w:t>开标一览表</w:t>
      </w:r>
      <w:bookmarkEnd w:id="461"/>
    </w:p>
    <w:tbl>
      <w:tblPr>
        <w:tblStyle w:val="49"/>
        <w:tblW w:w="4997"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639"/>
        <w:gridCol w:w="6317"/>
      </w:tblGrid>
      <w:tr w14:paraId="71F864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639" w:type="dxa"/>
            <w:vAlign w:val="center"/>
          </w:tcPr>
          <w:p w14:paraId="787308B0">
            <w:pPr>
              <w:spacing w:line="480" w:lineRule="exact"/>
              <w:ind w:firstLine="0" w:firstLineChars="0"/>
              <w:jc w:val="center"/>
              <w:rPr>
                <w:lang w:bidi="th-TH"/>
              </w:rPr>
            </w:pPr>
            <w:r>
              <w:rPr>
                <w:rFonts w:hint="eastAsia" w:ascii="宋体" w:hAnsi="宋体" w:cs="Angsana New"/>
                <w:sz w:val="24"/>
                <w:lang w:bidi="th-TH"/>
              </w:rPr>
              <w:t>招标项目名称</w:t>
            </w:r>
          </w:p>
        </w:tc>
        <w:tc>
          <w:tcPr>
            <w:tcW w:w="6317" w:type="dxa"/>
            <w:vAlign w:val="center"/>
          </w:tcPr>
          <w:p w14:paraId="73074ADF">
            <w:pPr>
              <w:rPr>
                <w:lang w:bidi="th-TH"/>
              </w:rPr>
            </w:pPr>
          </w:p>
        </w:tc>
      </w:tr>
      <w:tr w14:paraId="7AD50C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639" w:type="dxa"/>
            <w:tcBorders>
              <w:bottom w:val="single" w:color="auto" w:sz="4" w:space="0"/>
            </w:tcBorders>
            <w:vAlign w:val="center"/>
          </w:tcPr>
          <w:p w14:paraId="761A8C01">
            <w:pPr>
              <w:spacing w:line="480" w:lineRule="exact"/>
              <w:ind w:firstLine="0" w:firstLineChars="0"/>
              <w:jc w:val="center"/>
              <w:rPr>
                <w:lang w:bidi="th-TH"/>
              </w:rPr>
            </w:pPr>
            <w:r>
              <w:rPr>
                <w:rFonts w:hint="eastAsia" w:ascii="宋体" w:hAnsi="宋体" w:cs="Angsana New"/>
                <w:sz w:val="24"/>
                <w:lang w:bidi="th-TH"/>
              </w:rPr>
              <w:t>交付</w:t>
            </w:r>
            <w:r>
              <w:rPr>
                <w:rFonts w:hint="eastAsia" w:ascii="宋体" w:hAnsi="宋体" w:cs="Angsana New"/>
                <w:sz w:val="24"/>
                <w:lang w:val="en-US" w:eastAsia="zh-CN" w:bidi="th-TH"/>
              </w:rPr>
              <w:t>使用</w:t>
            </w:r>
            <w:r>
              <w:rPr>
                <w:rFonts w:hint="eastAsia" w:ascii="宋体" w:hAnsi="宋体" w:cs="Angsana New"/>
                <w:sz w:val="24"/>
                <w:lang w:bidi="th-TH"/>
              </w:rPr>
              <w:t>期</w:t>
            </w:r>
          </w:p>
        </w:tc>
        <w:tc>
          <w:tcPr>
            <w:tcW w:w="6317" w:type="dxa"/>
            <w:tcBorders>
              <w:bottom w:val="single" w:color="auto" w:sz="4" w:space="0"/>
            </w:tcBorders>
            <w:vAlign w:val="center"/>
          </w:tcPr>
          <w:p w14:paraId="54034E44">
            <w:pPr>
              <w:rPr>
                <w:lang w:bidi="th-TH"/>
              </w:rPr>
            </w:pPr>
          </w:p>
        </w:tc>
      </w:tr>
      <w:tr w14:paraId="1AE686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639" w:type="dxa"/>
            <w:tcBorders>
              <w:top w:val="single" w:color="auto" w:sz="4" w:space="0"/>
              <w:left w:val="single" w:color="auto" w:sz="4" w:space="0"/>
              <w:bottom w:val="nil"/>
            </w:tcBorders>
            <w:vAlign w:val="center"/>
          </w:tcPr>
          <w:p w14:paraId="7EE1F7B4">
            <w:pPr>
              <w:spacing w:line="480" w:lineRule="exact"/>
              <w:ind w:firstLine="0" w:firstLineChars="0"/>
              <w:jc w:val="center"/>
              <w:rPr>
                <w:lang w:bidi="th-TH"/>
              </w:rPr>
            </w:pPr>
            <w:r>
              <w:rPr>
                <w:rFonts w:hint="eastAsia" w:ascii="宋体" w:hAnsi="宋体" w:cs="Angsana New"/>
                <w:sz w:val="24"/>
                <w:lang w:bidi="th-TH"/>
              </w:rPr>
              <w:t>投标总价（元）</w:t>
            </w:r>
          </w:p>
        </w:tc>
        <w:tc>
          <w:tcPr>
            <w:tcW w:w="6317" w:type="dxa"/>
            <w:tcBorders>
              <w:top w:val="single" w:color="auto" w:sz="4" w:space="0"/>
              <w:bottom w:val="nil"/>
              <w:right w:val="single" w:color="auto" w:sz="4" w:space="0"/>
            </w:tcBorders>
            <w:vAlign w:val="center"/>
          </w:tcPr>
          <w:p w14:paraId="4A470808">
            <w:pPr>
              <w:rPr>
                <w:lang w:bidi="th-TH"/>
              </w:rPr>
            </w:pPr>
          </w:p>
        </w:tc>
      </w:tr>
      <w:tr w14:paraId="2A0640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639" w:type="dxa"/>
            <w:tcBorders>
              <w:top w:val="single" w:color="auto" w:sz="4" w:space="0"/>
            </w:tcBorders>
            <w:vAlign w:val="center"/>
          </w:tcPr>
          <w:p w14:paraId="722982A7">
            <w:pPr>
              <w:spacing w:line="480" w:lineRule="exact"/>
              <w:ind w:firstLine="0" w:firstLineChars="0"/>
              <w:jc w:val="center"/>
              <w:rPr>
                <w:lang w:bidi="th-TH"/>
              </w:rPr>
            </w:pPr>
            <w:r>
              <w:rPr>
                <w:rFonts w:hint="eastAsia" w:ascii="宋体" w:hAnsi="宋体" w:cs="Angsana New"/>
                <w:sz w:val="24"/>
                <w:lang w:bidi="th-TH"/>
              </w:rPr>
              <w:t>项目负责人</w:t>
            </w:r>
          </w:p>
        </w:tc>
        <w:tc>
          <w:tcPr>
            <w:tcW w:w="6317" w:type="dxa"/>
            <w:tcBorders>
              <w:top w:val="single" w:color="auto" w:sz="4" w:space="0"/>
            </w:tcBorders>
            <w:vAlign w:val="center"/>
          </w:tcPr>
          <w:p w14:paraId="4E14F3BB">
            <w:pPr>
              <w:rPr>
                <w:lang w:bidi="th-TH"/>
              </w:rPr>
            </w:pPr>
          </w:p>
        </w:tc>
      </w:tr>
      <w:tr w14:paraId="12B573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3639" w:type="dxa"/>
            <w:vAlign w:val="center"/>
          </w:tcPr>
          <w:p w14:paraId="4CFDC1BE">
            <w:pPr>
              <w:spacing w:line="480" w:lineRule="exact"/>
              <w:ind w:firstLine="0" w:firstLineChars="0"/>
              <w:jc w:val="center"/>
              <w:rPr>
                <w:lang w:bidi="th-TH"/>
              </w:rPr>
            </w:pPr>
            <w:r>
              <w:rPr>
                <w:rFonts w:hint="eastAsia" w:ascii="宋体" w:hAnsi="宋体" w:cs="Angsana New"/>
                <w:sz w:val="24"/>
                <w:lang w:bidi="th-TH"/>
              </w:rPr>
              <w:t>备注</w:t>
            </w:r>
          </w:p>
        </w:tc>
        <w:tc>
          <w:tcPr>
            <w:tcW w:w="6317" w:type="dxa"/>
            <w:vAlign w:val="center"/>
          </w:tcPr>
          <w:p w14:paraId="418A000A">
            <w:pPr>
              <w:rPr>
                <w:lang w:bidi="th-TH"/>
              </w:rPr>
            </w:pPr>
          </w:p>
        </w:tc>
      </w:tr>
    </w:tbl>
    <w:p w14:paraId="26CDEC0D">
      <w:pPr>
        <w:snapToGrid w:val="0"/>
        <w:spacing w:line="480" w:lineRule="exact"/>
        <w:ind w:firstLine="480"/>
        <w:jc w:val="left"/>
        <w:rPr>
          <w:rFonts w:ascii="宋体" w:hAnsi="宋体" w:cs="Angsana New"/>
          <w:sz w:val="24"/>
          <w:szCs w:val="24"/>
          <w:lang w:bidi="th-TH"/>
        </w:rPr>
      </w:pPr>
      <w:r>
        <w:rPr>
          <w:rFonts w:hint="eastAsia" w:ascii="宋体" w:hAnsi="宋体" w:cs="Angsana New"/>
          <w:sz w:val="24"/>
          <w:szCs w:val="24"/>
          <w:lang w:bidi="th-TH"/>
        </w:rPr>
        <w:t>注: 1、报价一经涂改，应在涂改处加盖单位公章或者由法定代表人或授权委托人签字或盖章，否则其投标作无效标处理。</w:t>
      </w:r>
    </w:p>
    <w:p w14:paraId="6BCCAEAD">
      <w:pPr>
        <w:snapToGrid w:val="0"/>
        <w:spacing w:line="480" w:lineRule="exact"/>
        <w:ind w:firstLine="480"/>
        <w:jc w:val="left"/>
        <w:outlineLvl w:val="0"/>
        <w:rPr>
          <w:rFonts w:ascii="宋体" w:hAnsi="宋体" w:cs="Angsana New"/>
          <w:sz w:val="24"/>
          <w:szCs w:val="24"/>
          <w:lang w:bidi="th-TH"/>
        </w:rPr>
      </w:pPr>
      <w:bookmarkStart w:id="462" w:name="_Toc9097"/>
      <w:r>
        <w:rPr>
          <w:rFonts w:hint="eastAsia" w:ascii="宋体" w:hAnsi="宋体" w:cs="Angsana New"/>
          <w:sz w:val="24"/>
          <w:szCs w:val="24"/>
          <w:lang w:bidi="th-TH"/>
        </w:rPr>
        <w:t>2、投标费用包括本项目招标文件规定的一切费用。</w:t>
      </w:r>
      <w:bookmarkEnd w:id="462"/>
    </w:p>
    <w:p w14:paraId="3744B7A6">
      <w:pPr>
        <w:snapToGrid w:val="0"/>
        <w:spacing w:line="480" w:lineRule="exact"/>
        <w:ind w:firstLine="480"/>
        <w:jc w:val="left"/>
        <w:outlineLvl w:val="0"/>
        <w:rPr>
          <w:rFonts w:ascii="宋体" w:hAnsi="宋体" w:cs="Angsana New"/>
          <w:sz w:val="24"/>
          <w:szCs w:val="24"/>
          <w:lang w:bidi="th-TH"/>
        </w:rPr>
      </w:pPr>
      <w:bookmarkStart w:id="463" w:name="_Toc5113"/>
      <w:r>
        <w:rPr>
          <w:rFonts w:hint="eastAsia" w:ascii="宋体" w:hAnsi="宋体" w:cs="Angsana New"/>
          <w:sz w:val="24"/>
          <w:szCs w:val="24"/>
          <w:lang w:bidi="th-TH"/>
        </w:rPr>
        <w:t>3、以上报价应与投标函中、投标分项报价表中的价格相一致。</w:t>
      </w:r>
      <w:bookmarkEnd w:id="463"/>
    </w:p>
    <w:p w14:paraId="43CB798D">
      <w:pPr>
        <w:snapToGrid w:val="0"/>
        <w:spacing w:line="480" w:lineRule="exact"/>
        <w:ind w:firstLine="480"/>
        <w:jc w:val="left"/>
        <w:rPr>
          <w:rFonts w:ascii="宋体" w:hAnsi="宋体" w:cs="Angsana New"/>
          <w:sz w:val="24"/>
          <w:szCs w:val="24"/>
          <w:lang w:bidi="th-TH"/>
        </w:rPr>
      </w:pPr>
    </w:p>
    <w:p w14:paraId="0CF119BC">
      <w:pPr>
        <w:snapToGrid w:val="0"/>
        <w:spacing w:line="48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投标人（盖章）：</w:t>
      </w:r>
      <w:r>
        <w:rPr>
          <w:rFonts w:hint="eastAsia" w:ascii="宋体" w:hAnsi="宋体" w:cs="Angsana New"/>
          <w:sz w:val="24"/>
          <w:szCs w:val="24"/>
          <w:u w:val="single"/>
          <w:lang w:bidi="th-TH"/>
        </w:rPr>
        <w:t xml:space="preserve">                         </w:t>
      </w:r>
    </w:p>
    <w:p w14:paraId="28A11A4A">
      <w:pPr>
        <w:snapToGrid w:val="0"/>
        <w:spacing w:line="48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法定代表人（签字或盖章）：</w:t>
      </w:r>
      <w:r>
        <w:rPr>
          <w:rFonts w:hint="eastAsia" w:ascii="宋体" w:hAnsi="宋体" w:cs="Angsana New"/>
          <w:sz w:val="24"/>
          <w:szCs w:val="24"/>
          <w:u w:val="single"/>
          <w:lang w:bidi="th-TH"/>
        </w:rPr>
        <w:t xml:space="preserve">                </w:t>
      </w:r>
    </w:p>
    <w:p w14:paraId="4EC14539">
      <w:pPr>
        <w:snapToGrid w:val="0"/>
        <w:spacing w:line="480" w:lineRule="exact"/>
        <w:ind w:firstLine="480"/>
        <w:jc w:val="left"/>
        <w:rPr>
          <w:rFonts w:ascii="宋体" w:hAnsi="宋体" w:cs="Angsana New"/>
          <w:sz w:val="24"/>
          <w:szCs w:val="24"/>
          <w:lang w:bidi="th-TH"/>
        </w:rPr>
      </w:pPr>
      <w:r>
        <w:rPr>
          <w:rFonts w:hint="eastAsia" w:ascii="宋体" w:hAnsi="宋体" w:cs="Angsana New"/>
          <w:sz w:val="24"/>
          <w:szCs w:val="24"/>
          <w:lang w:bidi="th-TH"/>
        </w:rPr>
        <w:t>授权委托人（签字或盖章）：</w:t>
      </w:r>
      <w:r>
        <w:rPr>
          <w:rFonts w:hint="eastAsia" w:ascii="宋体" w:hAnsi="宋体" w:cs="Angsana New"/>
          <w:sz w:val="24"/>
          <w:szCs w:val="24"/>
          <w:u w:val="single"/>
          <w:lang w:bidi="th-TH"/>
        </w:rPr>
        <w:t xml:space="preserve">                </w:t>
      </w:r>
    </w:p>
    <w:p w14:paraId="249EE375">
      <w:pPr>
        <w:snapToGrid w:val="0"/>
        <w:spacing w:line="480" w:lineRule="exact"/>
        <w:ind w:firstLine="480"/>
        <w:jc w:val="left"/>
        <w:rPr>
          <w:rFonts w:ascii="宋体" w:hAnsi="宋体" w:cs="Angsana New"/>
          <w:sz w:val="24"/>
          <w:szCs w:val="24"/>
          <w:u w:val="single"/>
          <w:lang w:bidi="th-TH"/>
        </w:rPr>
      </w:pPr>
      <w:r>
        <w:rPr>
          <w:rFonts w:hint="eastAsia" w:ascii="宋体" w:hAnsi="宋体" w:cs="Angsana New"/>
          <w:sz w:val="24"/>
          <w:szCs w:val="24"/>
          <w:lang w:bidi="th-TH"/>
        </w:rPr>
        <w:t>日期：</w:t>
      </w:r>
      <w:r>
        <w:rPr>
          <w:rFonts w:hint="eastAsia" w:ascii="宋体" w:hAnsi="宋体" w:cs="Angsana New"/>
          <w:sz w:val="24"/>
          <w:szCs w:val="24"/>
          <w:u w:val="single"/>
          <w:lang w:bidi="th-TH"/>
        </w:rPr>
        <w:t xml:space="preserve">   年  月  日</w:t>
      </w:r>
    </w:p>
    <w:p w14:paraId="7C22FA41">
      <w:pPr>
        <w:pStyle w:val="25"/>
        <w:ind w:firstLine="560"/>
        <w:rPr>
          <w:lang w:bidi="th-TH"/>
        </w:rPr>
      </w:pPr>
    </w:p>
    <w:p w14:paraId="3864F6BF">
      <w:pPr>
        <w:pStyle w:val="25"/>
        <w:ind w:firstLine="560"/>
        <w:rPr>
          <w:lang w:bidi="th-TH"/>
        </w:rPr>
      </w:pPr>
    </w:p>
    <w:p w14:paraId="757F4679">
      <w:pPr>
        <w:pStyle w:val="25"/>
        <w:ind w:firstLine="560"/>
        <w:rPr>
          <w:lang w:bidi="th-TH"/>
        </w:rPr>
      </w:pPr>
    </w:p>
    <w:p w14:paraId="259FF29F">
      <w:pPr>
        <w:pStyle w:val="25"/>
        <w:ind w:firstLine="560"/>
        <w:rPr>
          <w:lang w:bidi="th-TH"/>
        </w:rPr>
      </w:pPr>
    </w:p>
    <w:p w14:paraId="3B18B86F">
      <w:pPr>
        <w:pStyle w:val="25"/>
        <w:ind w:firstLine="560"/>
        <w:rPr>
          <w:lang w:bidi="th-TH"/>
        </w:rPr>
      </w:pPr>
    </w:p>
    <w:p w14:paraId="1E7016E4">
      <w:pPr>
        <w:pStyle w:val="25"/>
        <w:ind w:firstLine="560"/>
        <w:rPr>
          <w:lang w:bidi="th-TH"/>
        </w:rPr>
      </w:pPr>
    </w:p>
    <w:p w14:paraId="583D160E">
      <w:pPr>
        <w:pStyle w:val="25"/>
        <w:ind w:firstLine="560"/>
        <w:rPr>
          <w:lang w:bidi="th-TH"/>
        </w:rPr>
      </w:pPr>
    </w:p>
    <w:p w14:paraId="4ADB92CD">
      <w:pPr>
        <w:pStyle w:val="25"/>
        <w:ind w:firstLine="560"/>
        <w:rPr>
          <w:lang w:bidi="th-TH"/>
        </w:rPr>
      </w:pPr>
    </w:p>
    <w:p w14:paraId="01A3A29C">
      <w:pPr>
        <w:pStyle w:val="162"/>
        <w:ind w:firstLine="560"/>
        <w:rPr>
          <w:lang w:bidi="th-TH"/>
        </w:rPr>
      </w:pPr>
      <w:r>
        <w:rPr>
          <w:rFonts w:hint="eastAsia"/>
        </w:rPr>
        <w:br w:type="page"/>
      </w:r>
      <w:r>
        <w:rPr>
          <w:rFonts w:hint="eastAsia"/>
          <w:lang w:bidi="th-TH"/>
        </w:rPr>
        <w:t>格式六：</w:t>
      </w:r>
    </w:p>
    <w:p w14:paraId="0DDF6E02">
      <w:pPr>
        <w:pStyle w:val="162"/>
        <w:ind w:firstLine="562"/>
        <w:jc w:val="center"/>
        <w:rPr>
          <w:rFonts w:hAnsi="宋体"/>
          <w:b/>
          <w:szCs w:val="28"/>
        </w:rPr>
      </w:pPr>
      <w:r>
        <w:rPr>
          <w:rFonts w:hint="eastAsia" w:hAnsi="宋体"/>
          <w:b/>
          <w:szCs w:val="28"/>
        </w:rPr>
        <w:t>商务及技术条款偏离表</w:t>
      </w:r>
      <w:r>
        <w:rPr>
          <w:rFonts w:hint="eastAsia" w:hAnsi="宋体" w:cs="宋体"/>
          <w:b/>
          <w:bCs/>
          <w:sz w:val="32"/>
          <w:szCs w:val="32"/>
        </w:rPr>
        <w:t>（格式自拟）</w:t>
      </w:r>
    </w:p>
    <w:p w14:paraId="5044AE0C">
      <w:pPr>
        <w:autoSpaceDE w:val="0"/>
        <w:autoSpaceDN w:val="0"/>
        <w:adjustRightInd w:val="0"/>
        <w:spacing w:line="700" w:lineRule="exact"/>
        <w:ind w:firstLine="0" w:firstLineChars="0"/>
        <w:rPr>
          <w:rFonts w:ascii="宋体" w:hAnsi="宋体" w:cs="FangSong_GB2312-Identity-H"/>
          <w:kern w:val="0"/>
          <w:sz w:val="24"/>
          <w:szCs w:val="24"/>
        </w:rPr>
      </w:pPr>
      <w:r>
        <w:rPr>
          <w:rFonts w:hint="eastAsia" w:ascii="宋体" w:hAnsi="宋体" w:cs="FangSong_GB2312-Identity-H"/>
          <w:kern w:val="0"/>
          <w:sz w:val="24"/>
          <w:szCs w:val="24"/>
        </w:rPr>
        <w:t xml:space="preserve">项目名称：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1971"/>
        <w:gridCol w:w="2349"/>
        <w:gridCol w:w="2340"/>
        <w:gridCol w:w="1620"/>
      </w:tblGrid>
      <w:tr w14:paraId="7BFBA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1368" w:type="dxa"/>
            <w:vAlign w:val="center"/>
          </w:tcPr>
          <w:p w14:paraId="46208E39">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序号</w:t>
            </w:r>
          </w:p>
        </w:tc>
        <w:tc>
          <w:tcPr>
            <w:tcW w:w="1971" w:type="dxa"/>
            <w:vAlign w:val="center"/>
          </w:tcPr>
          <w:p w14:paraId="545D33A1">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招标文件</w:t>
            </w:r>
          </w:p>
          <w:p w14:paraId="03BC41DE">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条目号</w:t>
            </w:r>
          </w:p>
        </w:tc>
        <w:tc>
          <w:tcPr>
            <w:tcW w:w="2349" w:type="dxa"/>
            <w:vAlign w:val="center"/>
          </w:tcPr>
          <w:p w14:paraId="29AD9F60">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招标文件的</w:t>
            </w:r>
          </w:p>
          <w:p w14:paraId="553CCFEA">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商务条款</w:t>
            </w:r>
          </w:p>
        </w:tc>
        <w:tc>
          <w:tcPr>
            <w:tcW w:w="2340" w:type="dxa"/>
            <w:vAlign w:val="center"/>
          </w:tcPr>
          <w:p w14:paraId="179CA9B9">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投标文件的</w:t>
            </w:r>
          </w:p>
          <w:p w14:paraId="6CE18882">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商务条款</w:t>
            </w:r>
          </w:p>
        </w:tc>
        <w:tc>
          <w:tcPr>
            <w:tcW w:w="1620" w:type="dxa"/>
            <w:vAlign w:val="center"/>
          </w:tcPr>
          <w:p w14:paraId="5471BE6B">
            <w:pPr>
              <w:autoSpaceDE w:val="0"/>
              <w:autoSpaceDN w:val="0"/>
              <w:adjustRightInd w:val="0"/>
              <w:spacing w:line="360" w:lineRule="exact"/>
              <w:ind w:firstLine="0" w:firstLineChars="0"/>
              <w:jc w:val="center"/>
              <w:rPr>
                <w:rFonts w:ascii="宋体" w:hAnsi="宋体" w:cs="FangSong_GB2312-Identity-H"/>
                <w:bCs/>
                <w:kern w:val="0"/>
                <w:sz w:val="24"/>
                <w:szCs w:val="24"/>
              </w:rPr>
            </w:pPr>
            <w:r>
              <w:rPr>
                <w:rFonts w:hint="eastAsia" w:ascii="宋体" w:hAnsi="宋体" w:cs="FangSong_GB2312-Identity-H"/>
                <w:bCs/>
                <w:kern w:val="0"/>
                <w:sz w:val="24"/>
                <w:szCs w:val="24"/>
              </w:rPr>
              <w:t>说明</w:t>
            </w:r>
          </w:p>
        </w:tc>
      </w:tr>
      <w:tr w14:paraId="2183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1F7832CE">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09ED4884">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3D9A7C3D">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362171A0">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182E62FB">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3517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968A849">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2309F542">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3EEDE128">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2F4CD196">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1B15A8C9">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414D8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75FFAFAE">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69D5AE02">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65C0FF93">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3B54B3DC">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37D81247">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5573F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E254E55">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08C7B325">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28B39253">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05F1C28B">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6640D2F0">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3692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DDDDA92">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67130187">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52F4AF8F">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7768427F">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5AF1F716">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69C09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5498FA88">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1D570A6D">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30E7CEB9">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6C32F50B">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2414BF03">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27259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0154E9FD">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2868BC36">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2E92FA9A">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4D8CF19F">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2FA6CB21">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1F1C8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449640F5">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7CBD51CE">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7C8DEB25">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0D503587">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3501D7EF">
            <w:pPr>
              <w:autoSpaceDE w:val="0"/>
              <w:autoSpaceDN w:val="0"/>
              <w:adjustRightInd w:val="0"/>
              <w:spacing w:line="700" w:lineRule="exact"/>
              <w:ind w:firstLine="0" w:firstLineChars="0"/>
              <w:jc w:val="center"/>
              <w:rPr>
                <w:rFonts w:ascii="宋体" w:hAnsi="宋体" w:cs="FangSong_GB2312-Identity-H"/>
                <w:bCs/>
                <w:kern w:val="0"/>
                <w:sz w:val="24"/>
                <w:szCs w:val="24"/>
              </w:rPr>
            </w:pPr>
          </w:p>
        </w:tc>
      </w:tr>
      <w:tr w14:paraId="0928D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368" w:type="dxa"/>
            <w:vAlign w:val="center"/>
          </w:tcPr>
          <w:p w14:paraId="209D82EC">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971" w:type="dxa"/>
            <w:vAlign w:val="center"/>
          </w:tcPr>
          <w:p w14:paraId="490AA3C0">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9" w:type="dxa"/>
            <w:vAlign w:val="center"/>
          </w:tcPr>
          <w:p w14:paraId="569E3C61">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2340" w:type="dxa"/>
            <w:vAlign w:val="center"/>
          </w:tcPr>
          <w:p w14:paraId="2D714709">
            <w:pPr>
              <w:autoSpaceDE w:val="0"/>
              <w:autoSpaceDN w:val="0"/>
              <w:adjustRightInd w:val="0"/>
              <w:spacing w:line="700" w:lineRule="exact"/>
              <w:ind w:firstLine="0" w:firstLineChars="0"/>
              <w:jc w:val="center"/>
              <w:rPr>
                <w:rFonts w:ascii="宋体" w:hAnsi="宋体" w:cs="FangSong_GB2312-Identity-H"/>
                <w:bCs/>
                <w:kern w:val="0"/>
                <w:sz w:val="24"/>
                <w:szCs w:val="24"/>
              </w:rPr>
            </w:pPr>
          </w:p>
        </w:tc>
        <w:tc>
          <w:tcPr>
            <w:tcW w:w="1620" w:type="dxa"/>
            <w:vAlign w:val="center"/>
          </w:tcPr>
          <w:p w14:paraId="214D936C">
            <w:pPr>
              <w:autoSpaceDE w:val="0"/>
              <w:autoSpaceDN w:val="0"/>
              <w:adjustRightInd w:val="0"/>
              <w:spacing w:line="700" w:lineRule="exact"/>
              <w:ind w:firstLine="0" w:firstLineChars="0"/>
              <w:jc w:val="center"/>
              <w:rPr>
                <w:rFonts w:ascii="宋体" w:hAnsi="宋体" w:cs="FangSong_GB2312-Identity-H"/>
                <w:bCs/>
                <w:kern w:val="0"/>
                <w:sz w:val="24"/>
                <w:szCs w:val="24"/>
              </w:rPr>
            </w:pPr>
          </w:p>
        </w:tc>
      </w:tr>
    </w:tbl>
    <w:p w14:paraId="73ECD064">
      <w:pPr>
        <w:autoSpaceDE w:val="0"/>
        <w:autoSpaceDN w:val="0"/>
        <w:adjustRightInd w:val="0"/>
        <w:spacing w:line="700" w:lineRule="exact"/>
        <w:ind w:firstLine="0" w:firstLineChars="0"/>
        <w:rPr>
          <w:rFonts w:ascii="宋体" w:hAnsi="宋体" w:cs="FangSong_GB2312-Identity-H"/>
          <w:bCs/>
          <w:kern w:val="0"/>
          <w:sz w:val="24"/>
          <w:szCs w:val="24"/>
        </w:rPr>
      </w:pPr>
      <w:r>
        <w:rPr>
          <w:rFonts w:hint="eastAsia" w:ascii="宋体" w:hAnsi="宋体" w:cs="FangSong_GB2312-Identity-H"/>
          <w:kern w:val="0"/>
          <w:sz w:val="24"/>
          <w:szCs w:val="24"/>
        </w:rPr>
        <w:t>我方承诺：除上表中的偏离外，完全响应招标文件的其他条款。</w:t>
      </w:r>
    </w:p>
    <w:p w14:paraId="7FC9A350">
      <w:pPr>
        <w:autoSpaceDE w:val="0"/>
        <w:autoSpaceDN w:val="0"/>
        <w:adjustRightInd w:val="0"/>
        <w:spacing w:line="500" w:lineRule="exact"/>
        <w:ind w:firstLine="0" w:firstLineChars="0"/>
        <w:jc w:val="left"/>
        <w:rPr>
          <w:rFonts w:ascii="宋体" w:hAnsi="宋体" w:cs="FangSong_GB2312-Identity-H"/>
          <w:kern w:val="0"/>
          <w:sz w:val="24"/>
          <w:szCs w:val="24"/>
        </w:rPr>
      </w:pPr>
    </w:p>
    <w:p w14:paraId="3500BE88">
      <w:pPr>
        <w:autoSpaceDE w:val="0"/>
        <w:autoSpaceDN w:val="0"/>
        <w:adjustRightInd w:val="0"/>
        <w:spacing w:line="500" w:lineRule="exact"/>
        <w:ind w:firstLine="0" w:firstLineChars="0"/>
        <w:jc w:val="left"/>
        <w:rPr>
          <w:rFonts w:ascii="宋体" w:hAnsi="宋体" w:cs="FangSong_GB2312-Identity-H"/>
          <w:kern w:val="0"/>
          <w:sz w:val="24"/>
          <w:szCs w:val="24"/>
          <w:u w:val="single"/>
        </w:rPr>
      </w:pPr>
      <w:r>
        <w:rPr>
          <w:rFonts w:hint="eastAsia" w:ascii="宋体" w:hAnsi="宋体" w:cs="FangSong_GB2312-Identity-H"/>
          <w:kern w:val="0"/>
          <w:sz w:val="24"/>
          <w:szCs w:val="24"/>
        </w:rPr>
        <w:t>投标人</w:t>
      </w:r>
      <w:r>
        <w:rPr>
          <w:rFonts w:ascii="宋体" w:hAnsi="宋体" w:cs="FangSong_GB2312-Identity-H"/>
          <w:kern w:val="0"/>
          <w:sz w:val="24"/>
          <w:szCs w:val="24"/>
        </w:rPr>
        <w:t>(</w:t>
      </w:r>
      <w:r>
        <w:rPr>
          <w:rFonts w:hint="eastAsia" w:ascii="宋体" w:hAnsi="宋体" w:cs="FangSong_GB2312-Identity-H"/>
          <w:kern w:val="0"/>
          <w:sz w:val="24"/>
          <w:szCs w:val="24"/>
        </w:rPr>
        <w:t>公章</w:t>
      </w:r>
      <w:r>
        <w:rPr>
          <w:rFonts w:ascii="宋体" w:hAnsi="宋体" w:cs="FangSong_GB2312-Identity-H"/>
          <w:kern w:val="0"/>
          <w:sz w:val="24"/>
          <w:szCs w:val="24"/>
        </w:rPr>
        <w:t xml:space="preserve">) </w:t>
      </w:r>
      <w:r>
        <w:rPr>
          <w:rFonts w:hint="eastAsia" w:ascii="宋体" w:hAnsi="宋体" w:cs="FangSong_GB2312-Identity-H"/>
          <w:kern w:val="0"/>
          <w:sz w:val="24"/>
          <w:szCs w:val="24"/>
        </w:rPr>
        <w:t>：</w:t>
      </w:r>
      <w:r>
        <w:rPr>
          <w:rFonts w:hint="eastAsia" w:ascii="宋体" w:hAnsi="宋体" w:cs="FangSong_GB2312-Identity-H"/>
          <w:kern w:val="0"/>
          <w:sz w:val="24"/>
          <w:szCs w:val="24"/>
          <w:u w:val="single"/>
        </w:rPr>
        <w:t xml:space="preserve">                          </w:t>
      </w:r>
    </w:p>
    <w:p w14:paraId="193D0F8A">
      <w:pPr>
        <w:autoSpaceDE w:val="0"/>
        <w:autoSpaceDN w:val="0"/>
        <w:adjustRightInd w:val="0"/>
        <w:spacing w:line="500" w:lineRule="exact"/>
        <w:ind w:firstLine="0" w:firstLineChars="0"/>
        <w:jc w:val="left"/>
        <w:rPr>
          <w:rFonts w:ascii="宋体" w:hAnsi="宋体" w:cs="FangSong_GB2312-Identity-H"/>
          <w:kern w:val="0"/>
          <w:sz w:val="24"/>
          <w:szCs w:val="24"/>
          <w:u w:val="single"/>
        </w:rPr>
      </w:pPr>
      <w:r>
        <w:rPr>
          <w:rFonts w:hint="eastAsia" w:ascii="宋体" w:hAnsi="宋体" w:cs="FangSong_GB2312-Identity-H"/>
          <w:kern w:val="0"/>
          <w:sz w:val="24"/>
          <w:szCs w:val="24"/>
        </w:rPr>
        <w:t>法定代表人或授权委托人（签字或盖章）：</w:t>
      </w:r>
      <w:r>
        <w:rPr>
          <w:rFonts w:hint="eastAsia" w:ascii="宋体" w:hAnsi="宋体" w:cs="FangSong_GB2312-Identity-H"/>
          <w:kern w:val="0"/>
          <w:sz w:val="24"/>
          <w:szCs w:val="24"/>
          <w:u w:val="single"/>
        </w:rPr>
        <w:t xml:space="preserve">                       </w:t>
      </w:r>
    </w:p>
    <w:p w14:paraId="7A835D3B">
      <w:pPr>
        <w:autoSpaceDE w:val="0"/>
        <w:autoSpaceDN w:val="0"/>
        <w:adjustRightInd w:val="0"/>
        <w:spacing w:line="500" w:lineRule="exact"/>
        <w:ind w:firstLine="0" w:firstLineChars="0"/>
        <w:jc w:val="left"/>
        <w:rPr>
          <w:rFonts w:ascii="宋体" w:hAnsi="宋体" w:cs="FangSong_GB2312-Identity-H"/>
          <w:b/>
          <w:bCs/>
          <w:kern w:val="0"/>
          <w:sz w:val="24"/>
          <w:szCs w:val="24"/>
        </w:rPr>
      </w:pPr>
      <w:r>
        <w:rPr>
          <w:rFonts w:hint="eastAsia" w:ascii="宋体" w:hAnsi="宋体" w:cs="FangSong_GB2312-Identity-H"/>
          <w:kern w:val="0"/>
          <w:sz w:val="24"/>
          <w:szCs w:val="24"/>
        </w:rPr>
        <w:t>日期：</w:t>
      </w:r>
      <w:r>
        <w:rPr>
          <w:rFonts w:ascii="宋体" w:hAnsi="宋体" w:cs="FangSong_GB2312-Identity-H"/>
          <w:kern w:val="0"/>
          <w:sz w:val="24"/>
          <w:szCs w:val="24"/>
        </w:rPr>
        <w:t xml:space="preserve"> </w:t>
      </w:r>
      <w:r>
        <w:rPr>
          <w:rFonts w:hint="eastAsia" w:ascii="宋体" w:hAnsi="宋体" w:cs="FangSong_GB2312-Identity-H"/>
          <w:kern w:val="0"/>
          <w:sz w:val="24"/>
          <w:szCs w:val="24"/>
          <w:u w:val="single"/>
        </w:rPr>
        <w:t xml:space="preserve">         </w:t>
      </w:r>
      <w:r>
        <w:rPr>
          <w:rFonts w:hint="eastAsia" w:ascii="宋体" w:hAnsi="宋体" w:cs="FangSong_GB2312-Identity-H"/>
          <w:kern w:val="0"/>
          <w:sz w:val="24"/>
          <w:szCs w:val="24"/>
        </w:rPr>
        <w:t>年</w:t>
      </w:r>
      <w:r>
        <w:rPr>
          <w:rFonts w:hint="eastAsia" w:ascii="宋体" w:hAnsi="宋体" w:cs="FangSong_GB2312-Identity-H"/>
          <w:kern w:val="0"/>
          <w:sz w:val="24"/>
          <w:szCs w:val="24"/>
          <w:u w:val="single"/>
        </w:rPr>
        <w:t xml:space="preserve">        </w:t>
      </w:r>
      <w:r>
        <w:rPr>
          <w:rFonts w:hint="eastAsia" w:ascii="宋体" w:hAnsi="宋体" w:cs="FangSong_GB2312-Identity-H"/>
          <w:kern w:val="0"/>
          <w:sz w:val="24"/>
          <w:szCs w:val="24"/>
        </w:rPr>
        <w:t>月</w:t>
      </w:r>
      <w:r>
        <w:rPr>
          <w:rFonts w:hint="eastAsia" w:ascii="宋体" w:hAnsi="宋体" w:cs="FangSong_GB2312-Identity-H"/>
          <w:kern w:val="0"/>
          <w:sz w:val="24"/>
          <w:szCs w:val="24"/>
          <w:u w:val="single"/>
        </w:rPr>
        <w:t xml:space="preserve">         </w:t>
      </w:r>
      <w:r>
        <w:rPr>
          <w:rFonts w:hint="eastAsia" w:ascii="宋体" w:hAnsi="宋体" w:cs="FangSong_GB2312-Identity-H"/>
          <w:kern w:val="0"/>
          <w:sz w:val="24"/>
          <w:szCs w:val="24"/>
        </w:rPr>
        <w:t>日</w:t>
      </w:r>
    </w:p>
    <w:p w14:paraId="1B8ABDFB">
      <w:r>
        <w:rPr>
          <w:rFonts w:hint="eastAsia"/>
        </w:rPr>
        <w:t xml:space="preserve">                 </w:t>
      </w:r>
    </w:p>
    <w:p w14:paraId="7F217E0B">
      <w:pPr>
        <w:spacing w:line="700" w:lineRule="exact"/>
        <w:ind w:firstLine="0" w:firstLineChars="0"/>
        <w:jc w:val="center"/>
        <w:rPr>
          <w:rFonts w:ascii="宋体" w:hAnsi="宋体" w:cs="宋体"/>
          <w:b/>
          <w:bCs/>
          <w:sz w:val="32"/>
          <w:szCs w:val="32"/>
        </w:rPr>
      </w:pPr>
      <w:r>
        <w:rPr>
          <w:rFonts w:hint="eastAsia"/>
        </w:rPr>
        <w:t xml:space="preserve">    </w:t>
      </w:r>
      <w:r>
        <w:rPr>
          <w:rFonts w:hint="eastAsia" w:ascii="宋体" w:hAnsi="宋体" w:cs="宋体"/>
          <w:b/>
          <w:bCs/>
          <w:sz w:val="32"/>
          <w:szCs w:val="32"/>
        </w:rPr>
        <w:t>技术参数响应表（格式自拟）</w:t>
      </w:r>
    </w:p>
    <w:p w14:paraId="76E864BE">
      <w:pPr>
        <w:spacing w:line="700" w:lineRule="exact"/>
        <w:ind w:firstLine="840" w:firstLineChars="350"/>
        <w:rPr>
          <w:rFonts w:ascii="宋体" w:hAnsi="宋体" w:cs="FangSong_GB2312-Identity-H"/>
          <w:sz w:val="24"/>
          <w:szCs w:val="24"/>
        </w:rPr>
      </w:pPr>
      <w:r>
        <w:rPr>
          <w:rFonts w:hint="eastAsia" w:ascii="宋体" w:hAnsi="宋体" w:cs="FangSong_GB2312-Identity-H"/>
          <w:sz w:val="24"/>
          <w:szCs w:val="24"/>
        </w:rPr>
        <w:t xml:space="preserve">项目名称：                                </w:t>
      </w:r>
    </w:p>
    <w:tbl>
      <w:tblPr>
        <w:tblStyle w:val="4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787"/>
        <w:gridCol w:w="1727"/>
        <w:gridCol w:w="1559"/>
        <w:gridCol w:w="2010"/>
      </w:tblGrid>
      <w:tr w14:paraId="38AB4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05" w:type="dxa"/>
            <w:tcBorders>
              <w:top w:val="single" w:color="auto" w:sz="4" w:space="0"/>
              <w:left w:val="single" w:color="auto" w:sz="4" w:space="0"/>
              <w:bottom w:val="single" w:color="auto" w:sz="4" w:space="0"/>
              <w:right w:val="single" w:color="auto" w:sz="4" w:space="0"/>
            </w:tcBorders>
            <w:vAlign w:val="center"/>
          </w:tcPr>
          <w:p w14:paraId="4ED54514">
            <w:pPr>
              <w:ind w:firstLine="0" w:firstLineChars="0"/>
              <w:jc w:val="center"/>
              <w:rPr>
                <w:rFonts w:ascii="宋体" w:hAnsi="宋体" w:cs="宋体"/>
              </w:rPr>
            </w:pPr>
            <w:r>
              <w:rPr>
                <w:rFonts w:hint="eastAsia" w:ascii="宋体" w:hAnsi="宋体" w:cs="宋体"/>
              </w:rPr>
              <w:t>序号</w:t>
            </w:r>
          </w:p>
        </w:tc>
        <w:tc>
          <w:tcPr>
            <w:tcW w:w="1787" w:type="dxa"/>
            <w:tcBorders>
              <w:top w:val="single" w:color="auto" w:sz="4" w:space="0"/>
              <w:left w:val="single" w:color="auto" w:sz="4" w:space="0"/>
              <w:bottom w:val="single" w:color="auto" w:sz="4" w:space="0"/>
              <w:right w:val="single" w:color="auto" w:sz="4" w:space="0"/>
            </w:tcBorders>
            <w:vAlign w:val="bottom"/>
          </w:tcPr>
          <w:p w14:paraId="799385CE">
            <w:pPr>
              <w:ind w:firstLine="0" w:firstLineChars="0"/>
              <w:jc w:val="center"/>
              <w:rPr>
                <w:rFonts w:ascii="宋体" w:hAnsi="宋体" w:cs="宋体"/>
              </w:rPr>
            </w:pPr>
            <w:r>
              <w:rPr>
                <w:rFonts w:hint="eastAsia" w:ascii="宋体" w:hAnsi="宋体" w:cs="宋体"/>
              </w:rPr>
              <w:t>招标文件的</w:t>
            </w:r>
          </w:p>
          <w:p w14:paraId="049BC278">
            <w:pPr>
              <w:ind w:firstLine="0" w:firstLineChars="0"/>
              <w:jc w:val="center"/>
              <w:rPr>
                <w:rFonts w:ascii="宋体" w:hAnsi="宋体" w:cs="宋体"/>
              </w:rPr>
            </w:pPr>
            <w:r>
              <w:rPr>
                <w:rFonts w:hint="eastAsia" w:ascii="宋体" w:hAnsi="宋体" w:cs="宋体"/>
              </w:rPr>
              <w:t>技术参数</w:t>
            </w:r>
          </w:p>
        </w:tc>
        <w:tc>
          <w:tcPr>
            <w:tcW w:w="1727" w:type="dxa"/>
            <w:tcBorders>
              <w:top w:val="single" w:color="auto" w:sz="4" w:space="0"/>
              <w:left w:val="single" w:color="auto" w:sz="4" w:space="0"/>
              <w:bottom w:val="single" w:color="auto" w:sz="4" w:space="0"/>
              <w:right w:val="single" w:color="auto" w:sz="4" w:space="0"/>
            </w:tcBorders>
            <w:vAlign w:val="center"/>
          </w:tcPr>
          <w:p w14:paraId="60AE9A0D">
            <w:pPr>
              <w:ind w:firstLine="0" w:firstLineChars="0"/>
              <w:jc w:val="center"/>
              <w:rPr>
                <w:rFonts w:ascii="宋体" w:hAnsi="宋体" w:cs="宋体"/>
              </w:rPr>
            </w:pPr>
            <w:r>
              <w:rPr>
                <w:rFonts w:hint="eastAsia" w:ascii="宋体" w:hAnsi="宋体" w:cs="宋体"/>
              </w:rPr>
              <w:t>投标参数</w:t>
            </w:r>
          </w:p>
        </w:tc>
        <w:tc>
          <w:tcPr>
            <w:tcW w:w="1559" w:type="dxa"/>
            <w:tcBorders>
              <w:top w:val="single" w:color="auto" w:sz="4" w:space="0"/>
              <w:left w:val="single" w:color="auto" w:sz="4" w:space="0"/>
              <w:bottom w:val="single" w:color="auto" w:sz="4" w:space="0"/>
              <w:right w:val="single" w:color="auto" w:sz="4" w:space="0"/>
            </w:tcBorders>
            <w:vAlign w:val="center"/>
          </w:tcPr>
          <w:p w14:paraId="1EF80ECB">
            <w:pPr>
              <w:ind w:firstLine="0" w:firstLineChars="0"/>
              <w:jc w:val="center"/>
              <w:rPr>
                <w:rFonts w:ascii="宋体" w:hAnsi="宋体" w:cs="宋体"/>
              </w:rPr>
            </w:pPr>
            <w:r>
              <w:rPr>
                <w:rFonts w:hint="eastAsia" w:ascii="宋体" w:hAnsi="宋体" w:cs="宋体"/>
              </w:rPr>
              <w:t>是否响应</w:t>
            </w:r>
          </w:p>
        </w:tc>
        <w:tc>
          <w:tcPr>
            <w:tcW w:w="2010" w:type="dxa"/>
            <w:tcBorders>
              <w:top w:val="single" w:color="auto" w:sz="4" w:space="0"/>
              <w:left w:val="single" w:color="auto" w:sz="4" w:space="0"/>
              <w:bottom w:val="single" w:color="auto" w:sz="4" w:space="0"/>
              <w:right w:val="single" w:color="auto" w:sz="4" w:space="0"/>
            </w:tcBorders>
            <w:vAlign w:val="center"/>
          </w:tcPr>
          <w:p w14:paraId="0D7AA9B3">
            <w:pPr>
              <w:ind w:firstLine="0" w:firstLineChars="0"/>
              <w:jc w:val="center"/>
              <w:rPr>
                <w:rFonts w:ascii="宋体" w:hAnsi="宋体" w:cs="宋体"/>
              </w:rPr>
            </w:pPr>
            <w:r>
              <w:rPr>
                <w:rFonts w:hint="eastAsia" w:ascii="宋体" w:hAnsi="宋体" w:cs="宋体"/>
              </w:rPr>
              <w:t>对页码</w:t>
            </w:r>
          </w:p>
        </w:tc>
      </w:tr>
      <w:tr w14:paraId="68677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105" w:type="dxa"/>
            <w:tcBorders>
              <w:top w:val="single" w:color="auto" w:sz="4" w:space="0"/>
              <w:left w:val="single" w:color="auto" w:sz="4" w:space="0"/>
              <w:bottom w:val="single" w:color="auto" w:sz="4" w:space="0"/>
              <w:right w:val="single" w:color="auto" w:sz="4" w:space="0"/>
            </w:tcBorders>
          </w:tcPr>
          <w:p w14:paraId="0AE925A1">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0E4BC6C9">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7AAC3AB3">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0C809784">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240C5952">
            <w:pPr>
              <w:ind w:firstLine="0" w:firstLineChars="0"/>
              <w:rPr>
                <w:rFonts w:ascii="宋体" w:hAnsi="宋体" w:cs="宋体"/>
              </w:rPr>
            </w:pPr>
          </w:p>
        </w:tc>
      </w:tr>
      <w:tr w14:paraId="371B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105" w:type="dxa"/>
            <w:tcBorders>
              <w:top w:val="single" w:color="auto" w:sz="4" w:space="0"/>
              <w:left w:val="single" w:color="auto" w:sz="4" w:space="0"/>
              <w:bottom w:val="single" w:color="auto" w:sz="4" w:space="0"/>
              <w:right w:val="single" w:color="auto" w:sz="4" w:space="0"/>
            </w:tcBorders>
          </w:tcPr>
          <w:p w14:paraId="21D07E68">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33497179">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547DBBAA">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17B4E218">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13D29B80">
            <w:pPr>
              <w:ind w:firstLine="0" w:firstLineChars="0"/>
              <w:rPr>
                <w:rFonts w:ascii="宋体" w:hAnsi="宋体" w:cs="宋体"/>
              </w:rPr>
            </w:pPr>
          </w:p>
        </w:tc>
      </w:tr>
      <w:tr w14:paraId="2480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5" w:type="dxa"/>
            <w:tcBorders>
              <w:top w:val="single" w:color="auto" w:sz="4" w:space="0"/>
              <w:left w:val="single" w:color="auto" w:sz="4" w:space="0"/>
              <w:bottom w:val="single" w:color="auto" w:sz="4" w:space="0"/>
              <w:right w:val="single" w:color="auto" w:sz="4" w:space="0"/>
            </w:tcBorders>
          </w:tcPr>
          <w:p w14:paraId="7E069005">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2B70E8EC">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720C2A9A">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0F6C9923">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66A693DF">
            <w:pPr>
              <w:ind w:firstLine="0" w:firstLineChars="0"/>
              <w:rPr>
                <w:rFonts w:ascii="宋体" w:hAnsi="宋体" w:cs="宋体"/>
              </w:rPr>
            </w:pPr>
          </w:p>
        </w:tc>
      </w:tr>
      <w:tr w14:paraId="7441A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105" w:type="dxa"/>
            <w:tcBorders>
              <w:top w:val="single" w:color="auto" w:sz="4" w:space="0"/>
              <w:left w:val="single" w:color="auto" w:sz="4" w:space="0"/>
              <w:bottom w:val="single" w:color="auto" w:sz="4" w:space="0"/>
              <w:right w:val="single" w:color="auto" w:sz="4" w:space="0"/>
            </w:tcBorders>
          </w:tcPr>
          <w:p w14:paraId="782D8783">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29801DE1">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6CE2D00B">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5D2B2413">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6C54E356">
            <w:pPr>
              <w:ind w:firstLine="0" w:firstLineChars="0"/>
              <w:rPr>
                <w:rFonts w:ascii="宋体" w:hAnsi="宋体" w:cs="宋体"/>
              </w:rPr>
            </w:pPr>
          </w:p>
        </w:tc>
      </w:tr>
      <w:tr w14:paraId="373C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105" w:type="dxa"/>
            <w:tcBorders>
              <w:top w:val="single" w:color="auto" w:sz="4" w:space="0"/>
              <w:left w:val="single" w:color="auto" w:sz="4" w:space="0"/>
              <w:bottom w:val="single" w:color="auto" w:sz="4" w:space="0"/>
              <w:right w:val="single" w:color="auto" w:sz="4" w:space="0"/>
            </w:tcBorders>
          </w:tcPr>
          <w:p w14:paraId="73CF96B1">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23B15889">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4FD29CC0">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4A38AC3D">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462D235B">
            <w:pPr>
              <w:ind w:firstLine="0" w:firstLineChars="0"/>
              <w:rPr>
                <w:rFonts w:ascii="宋体" w:hAnsi="宋体" w:cs="宋体"/>
              </w:rPr>
            </w:pPr>
          </w:p>
        </w:tc>
      </w:tr>
      <w:tr w14:paraId="40F80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105" w:type="dxa"/>
            <w:tcBorders>
              <w:top w:val="single" w:color="auto" w:sz="4" w:space="0"/>
              <w:left w:val="single" w:color="auto" w:sz="4" w:space="0"/>
              <w:bottom w:val="single" w:color="auto" w:sz="4" w:space="0"/>
              <w:right w:val="single" w:color="auto" w:sz="4" w:space="0"/>
            </w:tcBorders>
          </w:tcPr>
          <w:p w14:paraId="7B653B40">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5D3FD88A">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40A2711B">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04E9548C">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538D4209">
            <w:pPr>
              <w:ind w:firstLine="0" w:firstLineChars="0"/>
              <w:rPr>
                <w:rFonts w:ascii="宋体" w:hAnsi="宋体" w:cs="宋体"/>
              </w:rPr>
            </w:pPr>
          </w:p>
        </w:tc>
      </w:tr>
      <w:tr w14:paraId="1CF1C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105" w:type="dxa"/>
            <w:tcBorders>
              <w:top w:val="single" w:color="auto" w:sz="4" w:space="0"/>
              <w:left w:val="single" w:color="auto" w:sz="4" w:space="0"/>
              <w:bottom w:val="single" w:color="auto" w:sz="4" w:space="0"/>
              <w:right w:val="single" w:color="auto" w:sz="4" w:space="0"/>
            </w:tcBorders>
          </w:tcPr>
          <w:p w14:paraId="4B333ABB">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0CDE0798">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716A7542">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7625036D">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5F3E2D97">
            <w:pPr>
              <w:ind w:firstLine="0" w:firstLineChars="0"/>
              <w:rPr>
                <w:rFonts w:ascii="宋体" w:hAnsi="宋体" w:cs="宋体"/>
              </w:rPr>
            </w:pPr>
          </w:p>
        </w:tc>
      </w:tr>
      <w:tr w14:paraId="78C4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105" w:type="dxa"/>
            <w:tcBorders>
              <w:top w:val="single" w:color="auto" w:sz="4" w:space="0"/>
              <w:left w:val="single" w:color="auto" w:sz="4" w:space="0"/>
              <w:bottom w:val="single" w:color="auto" w:sz="4" w:space="0"/>
              <w:right w:val="single" w:color="auto" w:sz="4" w:space="0"/>
            </w:tcBorders>
          </w:tcPr>
          <w:p w14:paraId="76D97C56">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76171F77">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3DE39F51">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19228BB8">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796A4000">
            <w:pPr>
              <w:ind w:firstLine="0" w:firstLineChars="0"/>
              <w:rPr>
                <w:rFonts w:ascii="宋体" w:hAnsi="宋体" w:cs="宋体"/>
              </w:rPr>
            </w:pPr>
          </w:p>
        </w:tc>
      </w:tr>
      <w:tr w14:paraId="4D1D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105" w:type="dxa"/>
            <w:tcBorders>
              <w:top w:val="single" w:color="auto" w:sz="4" w:space="0"/>
              <w:left w:val="single" w:color="auto" w:sz="4" w:space="0"/>
              <w:bottom w:val="single" w:color="auto" w:sz="4" w:space="0"/>
              <w:right w:val="single" w:color="auto" w:sz="4" w:space="0"/>
            </w:tcBorders>
          </w:tcPr>
          <w:p w14:paraId="2E10953E">
            <w:pPr>
              <w:ind w:firstLine="0" w:firstLineChars="0"/>
              <w:rPr>
                <w:rFonts w:ascii="宋体" w:hAnsi="宋体" w:cs="宋体"/>
              </w:rPr>
            </w:pPr>
          </w:p>
        </w:tc>
        <w:tc>
          <w:tcPr>
            <w:tcW w:w="1787" w:type="dxa"/>
            <w:tcBorders>
              <w:top w:val="single" w:color="auto" w:sz="4" w:space="0"/>
              <w:left w:val="single" w:color="auto" w:sz="4" w:space="0"/>
              <w:bottom w:val="single" w:color="auto" w:sz="4" w:space="0"/>
              <w:right w:val="single" w:color="auto" w:sz="4" w:space="0"/>
            </w:tcBorders>
          </w:tcPr>
          <w:p w14:paraId="0E8439EC">
            <w:pPr>
              <w:ind w:firstLine="0" w:firstLineChars="0"/>
              <w:rPr>
                <w:rFonts w:ascii="宋体" w:hAnsi="宋体" w:cs="宋体"/>
              </w:rPr>
            </w:pPr>
          </w:p>
        </w:tc>
        <w:tc>
          <w:tcPr>
            <w:tcW w:w="1727" w:type="dxa"/>
            <w:tcBorders>
              <w:top w:val="single" w:color="auto" w:sz="4" w:space="0"/>
              <w:left w:val="single" w:color="auto" w:sz="4" w:space="0"/>
              <w:bottom w:val="single" w:color="auto" w:sz="4" w:space="0"/>
              <w:right w:val="single" w:color="auto" w:sz="4" w:space="0"/>
            </w:tcBorders>
          </w:tcPr>
          <w:p w14:paraId="4F1D8FF2">
            <w:pPr>
              <w:ind w:firstLine="0" w:firstLineChars="0"/>
              <w:rPr>
                <w:rFonts w:ascii="宋体" w:hAnsi="宋体" w:cs="宋体"/>
              </w:rPr>
            </w:pPr>
          </w:p>
        </w:tc>
        <w:tc>
          <w:tcPr>
            <w:tcW w:w="1559" w:type="dxa"/>
            <w:tcBorders>
              <w:top w:val="single" w:color="auto" w:sz="4" w:space="0"/>
              <w:left w:val="single" w:color="auto" w:sz="4" w:space="0"/>
              <w:bottom w:val="single" w:color="auto" w:sz="4" w:space="0"/>
              <w:right w:val="single" w:color="auto" w:sz="4" w:space="0"/>
            </w:tcBorders>
          </w:tcPr>
          <w:p w14:paraId="121E190E">
            <w:pPr>
              <w:ind w:firstLine="0" w:firstLineChars="0"/>
              <w:rPr>
                <w:rFonts w:ascii="宋体" w:hAnsi="宋体" w:cs="宋体"/>
              </w:rPr>
            </w:pPr>
          </w:p>
        </w:tc>
        <w:tc>
          <w:tcPr>
            <w:tcW w:w="2010" w:type="dxa"/>
            <w:tcBorders>
              <w:top w:val="single" w:color="auto" w:sz="4" w:space="0"/>
              <w:left w:val="single" w:color="auto" w:sz="4" w:space="0"/>
              <w:bottom w:val="single" w:color="auto" w:sz="4" w:space="0"/>
              <w:right w:val="single" w:color="auto" w:sz="4" w:space="0"/>
            </w:tcBorders>
          </w:tcPr>
          <w:p w14:paraId="6579281B">
            <w:pPr>
              <w:ind w:firstLine="0" w:firstLineChars="0"/>
              <w:rPr>
                <w:rFonts w:ascii="宋体" w:hAnsi="宋体" w:cs="宋体"/>
              </w:rPr>
            </w:pPr>
          </w:p>
        </w:tc>
      </w:tr>
    </w:tbl>
    <w:p w14:paraId="3FF04A8A">
      <w:pPr>
        <w:spacing w:line="500" w:lineRule="exact"/>
        <w:ind w:firstLine="0" w:firstLineChars="0"/>
        <w:jc w:val="left"/>
        <w:rPr>
          <w:rFonts w:ascii="宋体" w:hAnsi="宋体" w:cs="FangSong_GB2312-Identity-H"/>
          <w:sz w:val="24"/>
          <w:szCs w:val="24"/>
        </w:rPr>
      </w:pPr>
    </w:p>
    <w:p w14:paraId="72C1A3CB">
      <w:pPr>
        <w:spacing w:line="500" w:lineRule="exact"/>
        <w:ind w:firstLine="840" w:firstLineChars="350"/>
        <w:jc w:val="left"/>
        <w:rPr>
          <w:rFonts w:ascii="宋体" w:hAnsi="宋体" w:cs="FangSong_GB2312-Identity-H"/>
          <w:sz w:val="24"/>
          <w:szCs w:val="24"/>
          <w:u w:val="single"/>
        </w:rPr>
      </w:pPr>
      <w:r>
        <w:rPr>
          <w:rFonts w:hint="eastAsia" w:ascii="宋体" w:hAnsi="宋体" w:cs="FangSong_GB2312-Identity-H"/>
          <w:sz w:val="24"/>
          <w:szCs w:val="24"/>
        </w:rPr>
        <w:t>投标人</w:t>
      </w:r>
      <w:r>
        <w:rPr>
          <w:rFonts w:ascii="宋体" w:hAnsi="宋体" w:cs="FangSong_GB2312-Identity-H"/>
          <w:sz w:val="24"/>
          <w:szCs w:val="24"/>
        </w:rPr>
        <w:t>(</w:t>
      </w:r>
      <w:r>
        <w:rPr>
          <w:rFonts w:hint="eastAsia" w:ascii="宋体" w:hAnsi="宋体" w:cs="FangSong_GB2312-Identity-H"/>
          <w:sz w:val="24"/>
          <w:szCs w:val="24"/>
        </w:rPr>
        <w:t>公章</w:t>
      </w:r>
      <w:r>
        <w:rPr>
          <w:rFonts w:ascii="宋体" w:hAnsi="宋体" w:cs="FangSong_GB2312-Identity-H"/>
          <w:sz w:val="24"/>
          <w:szCs w:val="24"/>
        </w:rPr>
        <w:t xml:space="preserve">) </w:t>
      </w:r>
      <w:r>
        <w:rPr>
          <w:rFonts w:hint="eastAsia" w:ascii="宋体" w:hAnsi="宋体" w:cs="FangSong_GB2312-Identity-H"/>
          <w:sz w:val="24"/>
          <w:szCs w:val="24"/>
        </w:rPr>
        <w:t>：</w:t>
      </w:r>
      <w:r>
        <w:rPr>
          <w:rFonts w:hint="eastAsia" w:ascii="宋体" w:hAnsi="宋体" w:cs="FangSong_GB2312-Identity-H"/>
          <w:sz w:val="24"/>
          <w:szCs w:val="24"/>
          <w:u w:val="single"/>
        </w:rPr>
        <w:t xml:space="preserve">                          </w:t>
      </w:r>
    </w:p>
    <w:p w14:paraId="27E12A3C">
      <w:pPr>
        <w:spacing w:line="500" w:lineRule="exact"/>
        <w:ind w:firstLine="840" w:firstLineChars="350"/>
        <w:jc w:val="left"/>
        <w:rPr>
          <w:rFonts w:ascii="宋体" w:hAnsi="宋体" w:cs="FangSong_GB2312-Identity-H"/>
          <w:sz w:val="24"/>
          <w:szCs w:val="24"/>
          <w:u w:val="single"/>
        </w:rPr>
      </w:pPr>
      <w:r>
        <w:rPr>
          <w:rFonts w:hint="eastAsia" w:ascii="宋体" w:hAnsi="宋体" w:cs="FangSong_GB2312-Identity-H"/>
          <w:sz w:val="24"/>
          <w:szCs w:val="24"/>
        </w:rPr>
        <w:t>法定代表人或授权委托人（签字或盖章）：</w:t>
      </w:r>
      <w:r>
        <w:rPr>
          <w:rFonts w:hint="eastAsia" w:ascii="宋体" w:hAnsi="宋体" w:cs="FangSong_GB2312-Identity-H"/>
          <w:sz w:val="24"/>
          <w:szCs w:val="24"/>
          <w:u w:val="single"/>
        </w:rPr>
        <w:t xml:space="preserve">                       </w:t>
      </w:r>
    </w:p>
    <w:p w14:paraId="0BF8E591">
      <w:pPr>
        <w:spacing w:line="500" w:lineRule="exact"/>
        <w:ind w:firstLine="840" w:firstLineChars="350"/>
        <w:jc w:val="left"/>
        <w:rPr>
          <w:rFonts w:ascii="宋体" w:hAnsi="宋体" w:cs="FangSong_GB2312-Identity-H"/>
          <w:sz w:val="24"/>
          <w:szCs w:val="24"/>
        </w:rPr>
      </w:pPr>
      <w:r>
        <w:rPr>
          <w:rFonts w:hint="eastAsia" w:ascii="宋体" w:hAnsi="宋体" w:cs="FangSong_GB2312-Identity-H"/>
          <w:sz w:val="24"/>
          <w:szCs w:val="24"/>
        </w:rPr>
        <w:t>日期：</w:t>
      </w:r>
      <w:r>
        <w:rPr>
          <w:rFonts w:ascii="宋体" w:hAnsi="宋体" w:cs="FangSong_GB2312-Identity-H"/>
          <w:sz w:val="24"/>
          <w:szCs w:val="24"/>
        </w:rPr>
        <w:t xml:space="preserve"> </w:t>
      </w:r>
      <w:r>
        <w:rPr>
          <w:rFonts w:hint="eastAsia" w:ascii="宋体" w:hAnsi="宋体" w:cs="FangSong_GB2312-Identity-H"/>
          <w:sz w:val="24"/>
          <w:szCs w:val="24"/>
          <w:u w:val="single"/>
        </w:rPr>
        <w:t xml:space="preserve">         </w:t>
      </w:r>
      <w:r>
        <w:rPr>
          <w:rFonts w:hint="eastAsia" w:ascii="宋体" w:hAnsi="宋体" w:cs="FangSong_GB2312-Identity-H"/>
          <w:sz w:val="24"/>
          <w:szCs w:val="24"/>
        </w:rPr>
        <w:t>年</w:t>
      </w:r>
      <w:r>
        <w:rPr>
          <w:rFonts w:hint="eastAsia" w:ascii="宋体" w:hAnsi="宋体" w:cs="FangSong_GB2312-Identity-H"/>
          <w:sz w:val="24"/>
          <w:szCs w:val="24"/>
          <w:u w:val="single"/>
        </w:rPr>
        <w:t xml:space="preserve">        </w:t>
      </w:r>
      <w:r>
        <w:rPr>
          <w:rFonts w:hint="eastAsia" w:ascii="宋体" w:hAnsi="宋体" w:cs="FangSong_GB2312-Identity-H"/>
          <w:sz w:val="24"/>
          <w:szCs w:val="24"/>
        </w:rPr>
        <w:t>月</w:t>
      </w:r>
      <w:r>
        <w:rPr>
          <w:rFonts w:hint="eastAsia" w:ascii="宋体" w:hAnsi="宋体" w:cs="FangSong_GB2312-Identity-H"/>
          <w:sz w:val="24"/>
          <w:szCs w:val="24"/>
          <w:u w:val="single"/>
        </w:rPr>
        <w:t xml:space="preserve">         </w:t>
      </w:r>
      <w:r>
        <w:rPr>
          <w:rFonts w:hint="eastAsia" w:ascii="宋体" w:hAnsi="宋体" w:cs="FangSong_GB2312-Identity-H"/>
          <w:sz w:val="24"/>
          <w:szCs w:val="24"/>
        </w:rPr>
        <w:t>日</w:t>
      </w:r>
    </w:p>
    <w:p w14:paraId="665E1E6A">
      <w:pPr>
        <w:snapToGrid w:val="0"/>
        <w:spacing w:before="120" w:after="120" w:line="280" w:lineRule="exact"/>
        <w:jc w:val="left"/>
        <w:rPr>
          <w:rFonts w:ascii="宋体" w:hAnsi="宋体" w:cs="Angsana New"/>
          <w:lang w:bidi="th-TH"/>
        </w:rPr>
      </w:pPr>
    </w:p>
    <w:p w14:paraId="1820B914">
      <w:pPr>
        <w:pStyle w:val="162"/>
        <w:ind w:firstLine="560"/>
      </w:pPr>
      <w:r>
        <w:rPr>
          <w:rFonts w:hint="eastAsia"/>
        </w:rPr>
        <w:t xml:space="preserve">                </w:t>
      </w:r>
    </w:p>
    <w:p w14:paraId="18D949DC">
      <w:r>
        <w:rPr>
          <w:rFonts w:hint="eastAsia"/>
        </w:rPr>
        <w:br w:type="page"/>
      </w:r>
    </w:p>
    <w:p w14:paraId="7ED6DFCF">
      <w:pPr>
        <w:pStyle w:val="2"/>
        <w:ind w:firstLine="480"/>
        <w:rPr>
          <w:b/>
          <w:szCs w:val="24"/>
        </w:rPr>
      </w:pPr>
      <w:r>
        <w:rPr>
          <w:rFonts w:hint="eastAsia"/>
          <w:lang w:bidi="th-TH"/>
        </w:rPr>
        <w:t>格式七：</w:t>
      </w:r>
    </w:p>
    <w:p w14:paraId="1C702C46">
      <w:pPr>
        <w:pStyle w:val="2"/>
        <w:ind w:firstLine="562"/>
        <w:jc w:val="center"/>
        <w:rPr>
          <w:rFonts w:hAnsi="宋体"/>
          <w:b/>
          <w:sz w:val="28"/>
          <w:szCs w:val="28"/>
        </w:rPr>
      </w:pPr>
      <w:r>
        <w:rPr>
          <w:rFonts w:hint="eastAsia" w:hAnsi="宋体"/>
          <w:b/>
          <w:sz w:val="28"/>
          <w:szCs w:val="28"/>
        </w:rPr>
        <w:t>供货一览表</w:t>
      </w:r>
    </w:p>
    <w:tbl>
      <w:tblPr>
        <w:tblStyle w:val="49"/>
        <w:tblW w:w="8897"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08" w:type="dxa"/>
          <w:bottom w:w="0" w:type="dxa"/>
          <w:right w:w="108" w:type="dxa"/>
        </w:tblCellMar>
      </w:tblPr>
      <w:tblGrid>
        <w:gridCol w:w="817"/>
        <w:gridCol w:w="1985"/>
        <w:gridCol w:w="2835"/>
        <w:gridCol w:w="1080"/>
        <w:gridCol w:w="1137"/>
        <w:gridCol w:w="1043"/>
      </w:tblGrid>
      <w:tr w14:paraId="3E9ACFC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vAlign w:val="center"/>
          </w:tcPr>
          <w:p w14:paraId="0A5F40C6">
            <w:pPr>
              <w:pStyle w:val="189"/>
              <w:ind w:firstLine="0" w:firstLineChars="0"/>
            </w:pPr>
            <w:r>
              <w:rPr>
                <w:rFonts w:hint="eastAsia"/>
              </w:rPr>
              <w:t>序号</w:t>
            </w:r>
          </w:p>
        </w:tc>
        <w:tc>
          <w:tcPr>
            <w:tcW w:w="1985" w:type="dxa"/>
            <w:tcBorders>
              <w:top w:val="single" w:color="auto" w:sz="6" w:space="0"/>
              <w:left w:val="single" w:color="auto" w:sz="6" w:space="0"/>
              <w:bottom w:val="single" w:color="auto" w:sz="6" w:space="0"/>
              <w:right w:val="single" w:color="auto" w:sz="6" w:space="0"/>
            </w:tcBorders>
            <w:vAlign w:val="center"/>
          </w:tcPr>
          <w:p w14:paraId="2793F53A">
            <w:pPr>
              <w:pStyle w:val="189"/>
              <w:ind w:firstLine="0" w:firstLineChars="0"/>
            </w:pPr>
            <w:r>
              <w:rPr>
                <w:rFonts w:hint="eastAsia"/>
              </w:rPr>
              <w:t>标的物名称</w:t>
            </w:r>
          </w:p>
        </w:tc>
        <w:tc>
          <w:tcPr>
            <w:tcW w:w="2835" w:type="dxa"/>
            <w:tcBorders>
              <w:top w:val="single" w:color="auto" w:sz="6" w:space="0"/>
              <w:left w:val="single" w:color="auto" w:sz="6" w:space="0"/>
              <w:bottom w:val="single" w:color="auto" w:sz="4" w:space="0"/>
              <w:right w:val="single" w:color="auto" w:sz="6" w:space="0"/>
            </w:tcBorders>
            <w:vAlign w:val="center"/>
          </w:tcPr>
          <w:p w14:paraId="1441CB06">
            <w:pPr>
              <w:pStyle w:val="189"/>
              <w:ind w:firstLine="520"/>
            </w:pPr>
            <w:r>
              <w:rPr>
                <w:rFonts w:hint="eastAsia"/>
              </w:rPr>
              <w:t>生产厂家、品牌、型号、规格、材质、性能</w:t>
            </w:r>
          </w:p>
        </w:tc>
        <w:tc>
          <w:tcPr>
            <w:tcW w:w="1080" w:type="dxa"/>
            <w:tcBorders>
              <w:top w:val="single" w:color="auto" w:sz="6" w:space="0"/>
              <w:left w:val="single" w:color="auto" w:sz="6" w:space="0"/>
              <w:bottom w:val="single" w:color="auto" w:sz="6" w:space="0"/>
              <w:right w:val="single" w:color="auto" w:sz="4" w:space="0"/>
            </w:tcBorders>
            <w:vAlign w:val="center"/>
          </w:tcPr>
          <w:p w14:paraId="6DC5E79D">
            <w:pPr>
              <w:pStyle w:val="189"/>
              <w:ind w:firstLine="0" w:firstLineChars="0"/>
            </w:pPr>
            <w:r>
              <w:rPr>
                <w:rFonts w:hint="eastAsia"/>
              </w:rPr>
              <w:t>单位</w:t>
            </w:r>
          </w:p>
        </w:tc>
        <w:tc>
          <w:tcPr>
            <w:tcW w:w="1137" w:type="dxa"/>
            <w:tcBorders>
              <w:top w:val="single" w:color="auto" w:sz="6" w:space="0"/>
              <w:left w:val="single" w:color="auto" w:sz="4" w:space="0"/>
              <w:bottom w:val="single" w:color="auto" w:sz="6" w:space="0"/>
              <w:right w:val="single" w:color="auto" w:sz="6" w:space="0"/>
            </w:tcBorders>
            <w:vAlign w:val="center"/>
          </w:tcPr>
          <w:p w14:paraId="52AB5499">
            <w:pPr>
              <w:pStyle w:val="189"/>
              <w:ind w:firstLine="0" w:firstLineChars="0"/>
            </w:pPr>
            <w:r>
              <w:rPr>
                <w:rFonts w:hint="eastAsia"/>
              </w:rPr>
              <w:t>数量</w:t>
            </w:r>
          </w:p>
        </w:tc>
        <w:tc>
          <w:tcPr>
            <w:tcW w:w="1043" w:type="dxa"/>
            <w:tcBorders>
              <w:top w:val="single" w:color="auto" w:sz="6" w:space="0"/>
              <w:left w:val="single" w:color="auto" w:sz="6" w:space="0"/>
              <w:bottom w:val="single" w:color="auto" w:sz="6" w:space="0"/>
              <w:right w:val="single" w:color="auto" w:sz="4" w:space="0"/>
            </w:tcBorders>
            <w:vAlign w:val="center"/>
          </w:tcPr>
          <w:p w14:paraId="0A2D80FC">
            <w:pPr>
              <w:pStyle w:val="189"/>
              <w:ind w:firstLine="0" w:firstLineChars="0"/>
            </w:pPr>
            <w:r>
              <w:rPr>
                <w:rFonts w:hint="eastAsia"/>
              </w:rPr>
              <w:t>交付期</w:t>
            </w:r>
          </w:p>
        </w:tc>
      </w:tr>
      <w:tr w14:paraId="7872F5F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5FA2A0BB">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75762B8E">
            <w:pPr>
              <w:pStyle w:val="189"/>
              <w:ind w:firstLine="520"/>
            </w:pPr>
          </w:p>
        </w:tc>
        <w:tc>
          <w:tcPr>
            <w:tcW w:w="2835" w:type="dxa"/>
            <w:tcBorders>
              <w:top w:val="single" w:color="auto" w:sz="4" w:space="0"/>
              <w:left w:val="single" w:color="auto" w:sz="6" w:space="0"/>
              <w:bottom w:val="single" w:color="auto" w:sz="6" w:space="0"/>
              <w:right w:val="single" w:color="auto" w:sz="6" w:space="0"/>
            </w:tcBorders>
          </w:tcPr>
          <w:p w14:paraId="7F16D374">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2675BE53">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5EE63B60">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578DE035">
            <w:pPr>
              <w:pStyle w:val="189"/>
              <w:ind w:firstLine="520"/>
            </w:pPr>
          </w:p>
        </w:tc>
      </w:tr>
      <w:tr w14:paraId="4E3E491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76AE5EA2">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5BC5DACF">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5E8FB925">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03572850">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713726C3">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77F1FDDF">
            <w:pPr>
              <w:pStyle w:val="189"/>
              <w:ind w:firstLine="520"/>
            </w:pPr>
          </w:p>
        </w:tc>
      </w:tr>
      <w:tr w14:paraId="6944C6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38D20370">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5825232F">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523F524C">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7199EA5C">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339D1DB3">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53DD1A95">
            <w:pPr>
              <w:pStyle w:val="189"/>
              <w:ind w:firstLine="520"/>
            </w:pPr>
          </w:p>
        </w:tc>
      </w:tr>
      <w:tr w14:paraId="2CAC62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70CACFF4">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2B80D146">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0232443E">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6DB7F187">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0212299F">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775FFA5E">
            <w:pPr>
              <w:pStyle w:val="189"/>
              <w:ind w:firstLine="520"/>
            </w:pPr>
          </w:p>
        </w:tc>
      </w:tr>
      <w:tr w14:paraId="5E00BF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0F1B11B7">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627D035F">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7DBBC09A">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761F7CB5">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1AA0EAF9">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7E81646E">
            <w:pPr>
              <w:pStyle w:val="189"/>
              <w:ind w:firstLine="520"/>
            </w:pPr>
          </w:p>
        </w:tc>
      </w:tr>
      <w:tr w14:paraId="403097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4132B49F">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4C1EED8E">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55B95F43">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63796752">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43F4A94B">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0DCE3F81">
            <w:pPr>
              <w:pStyle w:val="189"/>
              <w:ind w:firstLine="520"/>
            </w:pPr>
          </w:p>
        </w:tc>
      </w:tr>
      <w:tr w14:paraId="4A993BF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5D8E2902">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343B9546">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67C99D10">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461AEFFF">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0537C6E1">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468212E8">
            <w:pPr>
              <w:pStyle w:val="189"/>
              <w:ind w:firstLine="520"/>
            </w:pPr>
          </w:p>
        </w:tc>
      </w:tr>
      <w:tr w14:paraId="7652B7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7D32D958">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2E8B2531">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757B3516">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148751B0">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7B08B533">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3723F2DB">
            <w:pPr>
              <w:pStyle w:val="189"/>
              <w:ind w:firstLine="520"/>
            </w:pPr>
          </w:p>
        </w:tc>
      </w:tr>
      <w:tr w14:paraId="4C6DD90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10A6F115">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79B6AA8C">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110039B1">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187DDB9D">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645C65FC">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6F664043">
            <w:pPr>
              <w:pStyle w:val="189"/>
              <w:ind w:firstLine="520"/>
            </w:pPr>
          </w:p>
        </w:tc>
      </w:tr>
      <w:tr w14:paraId="4E99408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5B92D7ED">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59D32FF3">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70787D12">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646109FC">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33093E29">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0318D72E">
            <w:pPr>
              <w:pStyle w:val="189"/>
              <w:ind w:firstLine="520"/>
            </w:pPr>
          </w:p>
        </w:tc>
      </w:tr>
      <w:tr w14:paraId="010DF7C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0ADFBC7E">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0C99041D">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58D9E354">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29E4ED90">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6400B24A">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39F08DA1">
            <w:pPr>
              <w:pStyle w:val="189"/>
              <w:ind w:firstLine="520"/>
            </w:pPr>
          </w:p>
        </w:tc>
      </w:tr>
      <w:tr w14:paraId="6A01C6C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4D1A1D01">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4E6CFC73">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219E7A88">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4E207E8F">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38E2CB63">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176AB259">
            <w:pPr>
              <w:pStyle w:val="189"/>
              <w:ind w:firstLine="520"/>
            </w:pPr>
          </w:p>
        </w:tc>
      </w:tr>
      <w:tr w14:paraId="127901A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17" w:type="dxa"/>
            <w:tcBorders>
              <w:top w:val="single" w:color="auto" w:sz="6" w:space="0"/>
              <w:left w:val="single" w:color="auto" w:sz="6" w:space="0"/>
              <w:bottom w:val="single" w:color="auto" w:sz="6" w:space="0"/>
              <w:right w:val="single" w:color="auto" w:sz="6" w:space="0"/>
            </w:tcBorders>
          </w:tcPr>
          <w:p w14:paraId="656F249E">
            <w:pPr>
              <w:pStyle w:val="189"/>
              <w:ind w:firstLine="520"/>
            </w:pPr>
          </w:p>
        </w:tc>
        <w:tc>
          <w:tcPr>
            <w:tcW w:w="1985" w:type="dxa"/>
            <w:tcBorders>
              <w:top w:val="single" w:color="auto" w:sz="6" w:space="0"/>
              <w:left w:val="single" w:color="auto" w:sz="6" w:space="0"/>
              <w:bottom w:val="single" w:color="auto" w:sz="6" w:space="0"/>
              <w:right w:val="single" w:color="auto" w:sz="6" w:space="0"/>
            </w:tcBorders>
          </w:tcPr>
          <w:p w14:paraId="199C06CA">
            <w:pPr>
              <w:pStyle w:val="189"/>
              <w:ind w:firstLine="520"/>
            </w:pPr>
          </w:p>
        </w:tc>
        <w:tc>
          <w:tcPr>
            <w:tcW w:w="2835" w:type="dxa"/>
            <w:tcBorders>
              <w:top w:val="single" w:color="auto" w:sz="6" w:space="0"/>
              <w:left w:val="single" w:color="auto" w:sz="6" w:space="0"/>
              <w:bottom w:val="single" w:color="auto" w:sz="6" w:space="0"/>
              <w:right w:val="single" w:color="auto" w:sz="6" w:space="0"/>
            </w:tcBorders>
          </w:tcPr>
          <w:p w14:paraId="1D041479">
            <w:pPr>
              <w:pStyle w:val="189"/>
              <w:ind w:firstLine="520"/>
            </w:pPr>
          </w:p>
        </w:tc>
        <w:tc>
          <w:tcPr>
            <w:tcW w:w="1080" w:type="dxa"/>
            <w:tcBorders>
              <w:top w:val="single" w:color="auto" w:sz="6" w:space="0"/>
              <w:left w:val="single" w:color="auto" w:sz="6" w:space="0"/>
              <w:bottom w:val="single" w:color="auto" w:sz="6" w:space="0"/>
              <w:right w:val="single" w:color="auto" w:sz="4" w:space="0"/>
            </w:tcBorders>
          </w:tcPr>
          <w:p w14:paraId="23B5AC60">
            <w:pPr>
              <w:pStyle w:val="189"/>
              <w:ind w:firstLine="520"/>
            </w:pPr>
          </w:p>
        </w:tc>
        <w:tc>
          <w:tcPr>
            <w:tcW w:w="1137" w:type="dxa"/>
            <w:tcBorders>
              <w:top w:val="single" w:color="auto" w:sz="6" w:space="0"/>
              <w:left w:val="single" w:color="auto" w:sz="4" w:space="0"/>
              <w:bottom w:val="single" w:color="auto" w:sz="6" w:space="0"/>
              <w:right w:val="single" w:color="auto" w:sz="6" w:space="0"/>
            </w:tcBorders>
          </w:tcPr>
          <w:p w14:paraId="6E310619">
            <w:pPr>
              <w:pStyle w:val="189"/>
              <w:ind w:firstLine="520"/>
            </w:pPr>
          </w:p>
        </w:tc>
        <w:tc>
          <w:tcPr>
            <w:tcW w:w="1043" w:type="dxa"/>
            <w:tcBorders>
              <w:top w:val="single" w:color="auto" w:sz="6" w:space="0"/>
              <w:left w:val="single" w:color="auto" w:sz="6" w:space="0"/>
              <w:bottom w:val="single" w:color="auto" w:sz="6" w:space="0"/>
              <w:right w:val="single" w:color="auto" w:sz="4" w:space="0"/>
            </w:tcBorders>
          </w:tcPr>
          <w:p w14:paraId="7F94B1DE">
            <w:pPr>
              <w:pStyle w:val="189"/>
              <w:ind w:firstLine="520"/>
            </w:pPr>
          </w:p>
        </w:tc>
      </w:tr>
    </w:tbl>
    <w:p w14:paraId="12800B18"/>
    <w:p w14:paraId="2809E53D"/>
    <w:p w14:paraId="6A68E017">
      <w:r>
        <w:rPr>
          <w:rFonts w:hint="eastAsia"/>
        </w:rPr>
        <w:t>投标单位：（公章）</w:t>
      </w:r>
    </w:p>
    <w:p w14:paraId="5DF1EA37">
      <w:pPr>
        <w:rPr>
          <w:bCs/>
        </w:rPr>
      </w:pPr>
      <w:r>
        <w:rPr>
          <w:rFonts w:hint="eastAsia"/>
        </w:rPr>
        <w:t>法定代表人或代理人（签字或盖章）</w:t>
      </w:r>
      <w:r>
        <w:rPr>
          <w:rFonts w:hint="eastAsia"/>
          <w:bCs/>
        </w:rPr>
        <w:t>：</w:t>
      </w:r>
    </w:p>
    <w:p w14:paraId="444DE0AC">
      <w:pPr>
        <w:rPr>
          <w:b/>
          <w:bCs/>
          <w:sz w:val="32"/>
          <w:szCs w:val="32"/>
        </w:rPr>
      </w:pPr>
      <w:r>
        <w:rPr>
          <w:rFonts w:hint="eastAsia"/>
        </w:rPr>
        <w:t>日期：   年   月   日</w:t>
      </w:r>
    </w:p>
    <w:p w14:paraId="7B65C4D4"/>
    <w:p w14:paraId="1893E98A">
      <w:pPr>
        <w:spacing w:line="440" w:lineRule="exact"/>
        <w:ind w:firstLine="0" w:firstLineChars="0"/>
        <w:jc w:val="left"/>
        <w:rPr>
          <w:rFonts w:hAnsi="宋体"/>
          <w:b/>
          <w:sz w:val="32"/>
          <w:szCs w:val="32"/>
        </w:rPr>
      </w:pPr>
      <w:r>
        <w:rPr>
          <w:rFonts w:hint="eastAsia"/>
        </w:rPr>
        <w:t>格式八：</w:t>
      </w:r>
    </w:p>
    <w:p w14:paraId="00F1B9A7">
      <w:pPr>
        <w:snapToGrid w:val="0"/>
        <w:spacing w:before="120" w:after="120" w:line="460" w:lineRule="exact"/>
        <w:ind w:firstLine="643"/>
        <w:jc w:val="center"/>
        <w:outlineLvl w:val="0"/>
        <w:rPr>
          <w:rFonts w:ascii="宋体" w:hAnsi="宋体"/>
          <w:b/>
          <w:sz w:val="32"/>
          <w:szCs w:val="32"/>
        </w:rPr>
      </w:pPr>
      <w:r>
        <w:rPr>
          <w:rFonts w:hint="eastAsia" w:ascii="宋体" w:hAnsi="宋体"/>
          <w:b/>
          <w:sz w:val="32"/>
          <w:szCs w:val="32"/>
        </w:rPr>
        <w:t>书面声明</w:t>
      </w:r>
    </w:p>
    <w:p w14:paraId="50426684">
      <w:pPr>
        <w:snapToGrid w:val="0"/>
        <w:spacing w:before="120" w:after="120" w:line="460" w:lineRule="exact"/>
        <w:ind w:firstLine="643"/>
        <w:jc w:val="center"/>
        <w:outlineLvl w:val="0"/>
        <w:rPr>
          <w:rFonts w:ascii="宋体" w:hAnsi="宋体"/>
          <w:b/>
          <w:sz w:val="32"/>
          <w:szCs w:val="32"/>
        </w:rPr>
      </w:pPr>
    </w:p>
    <w:p w14:paraId="01C75780">
      <w:pPr>
        <w:pStyle w:val="190"/>
        <w:adjustRightInd w:val="0"/>
        <w:spacing w:before="78" w:beforeLines="25" w:beforeAutospacing="0" w:after="78" w:afterLines="25" w:afterAutospacing="0" w:line="240" w:lineRule="auto"/>
        <w:ind w:firstLine="600" w:firstLineChars="200"/>
        <w:jc w:val="both"/>
        <w:rPr>
          <w:rFonts w:ascii="宋体" w:hAnsi="宋体" w:cs="宋体"/>
          <w:kern w:val="2"/>
          <w:sz w:val="30"/>
          <w:szCs w:val="30"/>
        </w:rPr>
      </w:pPr>
      <w:r>
        <w:rPr>
          <w:rFonts w:hint="eastAsia" w:ascii="宋体" w:hAnsi="宋体" w:cs="宋体"/>
          <w:kern w:val="2"/>
          <w:sz w:val="30"/>
          <w:szCs w:val="30"/>
        </w:rPr>
        <w:t>我单位具备《中华人民共和国政府采购法》第二十二条第(一)至(六)项条件。</w:t>
      </w:r>
    </w:p>
    <w:p w14:paraId="5FA572A0">
      <w:pPr>
        <w:pStyle w:val="190"/>
        <w:adjustRightInd w:val="0"/>
        <w:spacing w:before="78" w:beforeLines="25" w:beforeAutospacing="0" w:after="78" w:afterLines="25" w:afterAutospacing="0" w:line="240" w:lineRule="auto"/>
        <w:ind w:firstLine="900" w:firstLineChars="300"/>
        <w:jc w:val="both"/>
        <w:rPr>
          <w:rFonts w:ascii="宋体" w:hAnsi="宋体" w:cs="宋体"/>
          <w:kern w:val="2"/>
          <w:sz w:val="30"/>
          <w:szCs w:val="30"/>
        </w:rPr>
      </w:pPr>
      <w:r>
        <w:rPr>
          <w:rFonts w:hint="eastAsia" w:ascii="宋体" w:hAnsi="宋体" w:cs="宋体"/>
          <w:kern w:val="2"/>
          <w:sz w:val="30"/>
          <w:szCs w:val="30"/>
        </w:rPr>
        <w:t>特此声明，如有虚假，贵方可取消我方参与本次项目投标资格。</w:t>
      </w:r>
    </w:p>
    <w:p w14:paraId="2F2D915B">
      <w:pPr>
        <w:tabs>
          <w:tab w:val="left" w:pos="2814"/>
        </w:tabs>
        <w:spacing w:line="520" w:lineRule="exact"/>
        <w:ind w:firstLine="2058" w:firstLineChars="686"/>
        <w:rPr>
          <w:rFonts w:ascii="宋体" w:hAnsi="宋体" w:cs="宋体"/>
          <w:sz w:val="30"/>
          <w:szCs w:val="30"/>
        </w:rPr>
      </w:pPr>
    </w:p>
    <w:p w14:paraId="18279C96">
      <w:pPr>
        <w:tabs>
          <w:tab w:val="left" w:pos="2814"/>
        </w:tabs>
        <w:spacing w:line="520" w:lineRule="exact"/>
        <w:ind w:firstLine="2058" w:firstLineChars="686"/>
        <w:rPr>
          <w:rFonts w:ascii="宋体" w:hAnsi="宋体" w:cs="宋体"/>
          <w:sz w:val="30"/>
          <w:szCs w:val="30"/>
        </w:rPr>
      </w:pPr>
    </w:p>
    <w:p w14:paraId="31B1EBEC">
      <w:pPr>
        <w:tabs>
          <w:tab w:val="left" w:pos="2814"/>
        </w:tabs>
        <w:spacing w:line="520" w:lineRule="exact"/>
        <w:ind w:firstLine="2058" w:firstLineChars="686"/>
        <w:rPr>
          <w:rFonts w:ascii="宋体" w:hAnsi="宋体" w:cs="宋体"/>
          <w:sz w:val="30"/>
          <w:szCs w:val="30"/>
        </w:rPr>
      </w:pPr>
      <w:r>
        <w:rPr>
          <w:rFonts w:hint="eastAsia" w:ascii="宋体" w:hAnsi="宋体" w:cs="宋体"/>
          <w:sz w:val="30"/>
          <w:szCs w:val="30"/>
        </w:rPr>
        <w:t>投标人(盖章)：</w:t>
      </w:r>
    </w:p>
    <w:p w14:paraId="2C8AAA4C">
      <w:pPr>
        <w:tabs>
          <w:tab w:val="left" w:pos="2814"/>
        </w:tabs>
        <w:spacing w:line="520" w:lineRule="exact"/>
        <w:ind w:left="-357" w:leftChars="-170" w:firstLine="2889" w:firstLineChars="1070"/>
        <w:rPr>
          <w:rFonts w:ascii="宋体" w:hAnsi="宋体" w:cs="宋体"/>
          <w:w w:val="90"/>
          <w:sz w:val="30"/>
          <w:szCs w:val="30"/>
        </w:rPr>
      </w:pPr>
    </w:p>
    <w:p w14:paraId="4430DF50">
      <w:pPr>
        <w:adjustRightInd w:val="0"/>
        <w:snapToGrid w:val="0"/>
        <w:spacing w:line="460" w:lineRule="exact"/>
        <w:ind w:firstLine="1890" w:firstLineChars="700"/>
        <w:rPr>
          <w:rFonts w:ascii="宋体" w:hAnsi="宋体" w:cs="宋体"/>
          <w:w w:val="90"/>
          <w:sz w:val="30"/>
          <w:szCs w:val="30"/>
        </w:rPr>
      </w:pPr>
      <w:r>
        <w:rPr>
          <w:rFonts w:hint="eastAsia" w:ascii="宋体" w:hAnsi="宋体" w:cs="宋体"/>
          <w:w w:val="90"/>
          <w:sz w:val="30"/>
          <w:szCs w:val="30"/>
        </w:rPr>
        <w:t>法定代表人（或者负责人）</w:t>
      </w:r>
    </w:p>
    <w:p w14:paraId="5041EFD7">
      <w:pPr>
        <w:adjustRightInd w:val="0"/>
        <w:snapToGrid w:val="0"/>
        <w:spacing w:line="460" w:lineRule="exact"/>
        <w:ind w:firstLine="1890" w:firstLineChars="700"/>
        <w:rPr>
          <w:rFonts w:ascii="宋体" w:hAnsi="宋体" w:cs="宋体"/>
          <w:w w:val="90"/>
          <w:sz w:val="30"/>
          <w:szCs w:val="30"/>
          <w:u w:val="single"/>
        </w:rPr>
      </w:pPr>
      <w:r>
        <w:rPr>
          <w:rFonts w:hint="eastAsia" w:ascii="宋体" w:hAnsi="宋体" w:cs="宋体"/>
          <w:w w:val="90"/>
          <w:sz w:val="30"/>
          <w:szCs w:val="30"/>
        </w:rPr>
        <w:t>或其授权委托人 (</w:t>
      </w:r>
      <w:r>
        <w:rPr>
          <w:rFonts w:hint="eastAsia" w:ascii="宋体" w:hAnsi="宋体" w:cs="宋体"/>
          <w:sz w:val="30"/>
          <w:szCs w:val="30"/>
        </w:rPr>
        <w:t>签字或盖章)</w:t>
      </w:r>
      <w:r>
        <w:rPr>
          <w:rFonts w:hint="eastAsia" w:ascii="宋体" w:hAnsi="宋体" w:cs="宋体"/>
          <w:w w:val="90"/>
          <w:sz w:val="30"/>
          <w:szCs w:val="30"/>
        </w:rPr>
        <w:t>：</w:t>
      </w:r>
    </w:p>
    <w:p w14:paraId="06439A56">
      <w:pPr>
        <w:adjustRightInd w:val="0"/>
        <w:snapToGrid w:val="0"/>
        <w:spacing w:line="460" w:lineRule="exact"/>
        <w:ind w:firstLine="0" w:firstLineChars="0"/>
        <w:rPr>
          <w:rFonts w:ascii="宋体" w:hAnsi="宋体" w:cs="宋体"/>
          <w:w w:val="90"/>
          <w:sz w:val="30"/>
          <w:szCs w:val="30"/>
        </w:rPr>
      </w:pPr>
    </w:p>
    <w:p w14:paraId="595B5E83">
      <w:pPr>
        <w:adjustRightInd w:val="0"/>
        <w:snapToGrid w:val="0"/>
        <w:spacing w:line="460" w:lineRule="exact"/>
        <w:ind w:firstLine="2970" w:firstLineChars="1100"/>
        <w:jc w:val="right"/>
        <w:rPr>
          <w:rFonts w:ascii="宋体" w:hAnsi="宋体" w:cs="宋体"/>
          <w:w w:val="90"/>
          <w:sz w:val="30"/>
          <w:szCs w:val="30"/>
          <w:u w:val="single"/>
        </w:rPr>
      </w:pPr>
      <w:r>
        <w:rPr>
          <w:rFonts w:hint="eastAsia" w:ascii="宋体" w:hAnsi="宋体" w:cs="宋体"/>
          <w:w w:val="90"/>
          <w:sz w:val="30"/>
          <w:szCs w:val="30"/>
        </w:rPr>
        <w:t>时间：年 月 日</w:t>
      </w:r>
    </w:p>
    <w:p w14:paraId="5A26206D"/>
    <w:p w14:paraId="471EBCD8">
      <w:pPr>
        <w:ind w:firstLine="562"/>
        <w:rPr>
          <w:rFonts w:hAnsi="宋体"/>
          <w:b/>
          <w:sz w:val="28"/>
          <w:szCs w:val="28"/>
        </w:rPr>
      </w:pPr>
      <w:bookmarkStart w:id="464" w:name="_Toc22754"/>
      <w:r>
        <w:rPr>
          <w:rFonts w:hint="eastAsia" w:hAnsi="宋体"/>
          <w:b/>
          <w:sz w:val="28"/>
          <w:szCs w:val="28"/>
        </w:rPr>
        <w:br w:type="page"/>
      </w:r>
    </w:p>
    <w:p w14:paraId="7B1762B4">
      <w:pPr>
        <w:spacing w:line="440" w:lineRule="exact"/>
        <w:ind w:firstLine="0" w:firstLineChars="0"/>
        <w:jc w:val="left"/>
      </w:pPr>
      <w:r>
        <w:rPr>
          <w:rFonts w:hint="eastAsia"/>
        </w:rPr>
        <w:t>格式九：</w:t>
      </w:r>
    </w:p>
    <w:p w14:paraId="7B133FD8">
      <w:pPr>
        <w:pStyle w:val="2"/>
        <w:ind w:firstLine="562"/>
        <w:jc w:val="center"/>
        <w:rPr>
          <w:rFonts w:hAnsi="宋体"/>
          <w:b/>
          <w:sz w:val="28"/>
          <w:szCs w:val="28"/>
        </w:rPr>
      </w:pPr>
      <w:r>
        <w:rPr>
          <w:rFonts w:hint="eastAsia" w:hAnsi="宋体"/>
          <w:b/>
          <w:sz w:val="28"/>
          <w:szCs w:val="28"/>
        </w:rPr>
        <w:t>盐城市大丰区政府招标采购供应商承诺书</w:t>
      </w:r>
      <w:bookmarkEnd w:id="464"/>
    </w:p>
    <w:p w14:paraId="5D76779F">
      <w:pPr>
        <w:rPr>
          <w:u w:val="single"/>
        </w:rPr>
      </w:pPr>
      <w:r>
        <w:rPr>
          <w:rFonts w:hint="eastAsia"/>
        </w:rPr>
        <w:t>为营造公开、公平、公正、诚实守信的政府招标采购交易环境，树立诚信守法的投标人形象，本单位参加政府招标采购项目</w:t>
      </w:r>
      <w:r>
        <w:rPr>
          <w:rFonts w:hint="eastAsia"/>
          <w:u w:val="single"/>
        </w:rPr>
        <w:t xml:space="preserve">：                                       </w:t>
      </w:r>
    </w:p>
    <w:p w14:paraId="18A449DA">
      <w:r>
        <w:rPr>
          <w:rFonts w:hint="eastAsia"/>
        </w:rPr>
        <w:t>的招标采购活动，本人代表本单位作出以下承诺：</w:t>
      </w:r>
    </w:p>
    <w:p w14:paraId="67E74252">
      <w:r>
        <w:rPr>
          <w:rFonts w:hint="eastAsia"/>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14:paraId="279B0CD5">
      <w:r>
        <w:rPr>
          <w:rFonts w:hint="eastAsia"/>
        </w:rPr>
        <w:t>（二）本单位无涉及政府招标采购活动的违法、违规不良记录，我公司及相关负责人无因存在重大隐患整改不力、发生有重大社会影响生产安全事故或其他严重违法违规行为而被列入失信联合惩戒的不良记录；</w:t>
      </w:r>
    </w:p>
    <w:p w14:paraId="21C8C008">
      <w:r>
        <w:rPr>
          <w:rFonts w:hint="eastAsia"/>
        </w:rPr>
        <w:t xml:space="preserve">（三）严格依照国家和省、市关于政府招标采购的法律、法规、规章、规范性文件，参加政府招标采购的投标活动；积极履行社会责任，促进廉政建设； </w:t>
      </w:r>
    </w:p>
    <w:p w14:paraId="0E7153D1">
      <w:r>
        <w:rPr>
          <w:rFonts w:hint="eastAsia"/>
        </w:rPr>
        <w:t>（四）严格遵守即时信息公示规定，及时维护和更新盐城市政府采购网、公共资源交易平台中与本单位相关的信息；</w:t>
      </w:r>
    </w:p>
    <w:p w14:paraId="3CA14133">
      <w:r>
        <w:rPr>
          <w:rFonts w:hint="eastAsia"/>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14:paraId="7BED840A">
      <w:r>
        <w:rPr>
          <w:rFonts w:hint="eastAsia"/>
        </w:rPr>
        <w:t>（六）自觉接受政府、行业组织、社会公众、新闻舆论的监督；</w:t>
      </w:r>
    </w:p>
    <w:p w14:paraId="202BD356">
      <w:r>
        <w:rPr>
          <w:rFonts w:hint="eastAsia"/>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14:paraId="6345FB3D">
      <w:r>
        <w:rPr>
          <w:rFonts w:hint="eastAsia"/>
        </w:rPr>
        <w:t>（八）本人已认真阅读了上述承诺，并向本单位员工作了宣传教育。</w:t>
      </w:r>
    </w:p>
    <w:p w14:paraId="331442B5"/>
    <w:p w14:paraId="5A5E7207"/>
    <w:p w14:paraId="367067B5">
      <w:r>
        <w:rPr>
          <w:rFonts w:hint="eastAsia"/>
        </w:rPr>
        <w:t>法定代表人签名：           单位名称（盖章）：</w:t>
      </w:r>
    </w:p>
    <w:p w14:paraId="5D3244CF"/>
    <w:p w14:paraId="5918EB05">
      <w:pPr>
        <w:pStyle w:val="25"/>
        <w:jc w:val="right"/>
        <w:rPr>
          <w:rFonts w:ascii="Times New Roman" w:hAnsi="Times New Roman" w:eastAsia="宋体" w:cs="Times New Roman"/>
          <w:sz w:val="21"/>
        </w:rPr>
      </w:pPr>
      <w:r>
        <w:rPr>
          <w:rFonts w:hint="eastAsia" w:ascii="Times New Roman" w:hAnsi="Times New Roman" w:eastAsia="宋体" w:cs="Times New Roman"/>
          <w:sz w:val="21"/>
        </w:rPr>
        <w:t>年    月    日</w:t>
      </w:r>
    </w:p>
    <w:sectPr>
      <w:footerReference r:id="rId13" w:type="default"/>
      <w:pgSz w:w="11906" w:h="16838"/>
      <w:pgMar w:top="1440" w:right="1080" w:bottom="1440" w:left="1080" w:header="851" w:footer="992" w:gutter="0"/>
      <w:pgNumType w:start="1"/>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华文细黑">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ˎ̥">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FangSong_GB2312-Identity-H">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021AC">
    <w:pPr>
      <w:pStyle w:val="3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910CF">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5280">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C904F">
    <w:pPr>
      <w:pStyle w:val="30"/>
      <w:ind w:firstLine="360"/>
    </w:pPr>
  </w:p>
  <w:p w14:paraId="3AEF845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1661D">
    <w:pPr>
      <w:pStyle w:val="3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624386">
                          <w:pPr>
                            <w:pStyle w:val="30"/>
                            <w:ind w:firstLine="360"/>
                          </w:pPr>
                          <w:r>
                            <w:fldChar w:fldCharType="begin"/>
                          </w:r>
                          <w:r>
                            <w:instrText xml:space="preserve">PAGE   \* MERGEFORMAT</w:instrText>
                          </w:r>
                          <w:r>
                            <w:fldChar w:fldCharType="separate"/>
                          </w:r>
                          <w:r>
                            <w:rPr>
                              <w:lang w:val="zh-CN"/>
                            </w:rP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E624386">
                    <w:pPr>
                      <w:pStyle w:val="30"/>
                      <w:ind w:firstLine="360"/>
                    </w:pPr>
                    <w:r>
                      <w:fldChar w:fldCharType="begin"/>
                    </w:r>
                    <w:r>
                      <w:instrText xml:space="preserve">PAGE   \* MERGEFORMAT</w:instrText>
                    </w:r>
                    <w:r>
                      <w:fldChar w:fldCharType="separate"/>
                    </w:r>
                    <w:r>
                      <w:rPr>
                        <w:lang w:val="zh-CN"/>
                      </w:rPr>
                      <w:t>25</w:t>
                    </w:r>
                    <w:r>
                      <w:fldChar w:fldCharType="end"/>
                    </w:r>
                  </w:p>
                </w:txbxContent>
              </v:textbox>
            </v:shape>
          </w:pict>
        </mc:Fallback>
      </mc:AlternateContent>
    </w:r>
  </w:p>
  <w:p w14:paraId="43DCA0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80913">
    <w:pPr>
      <w:pStyle w:val="3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8DBC3">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A80A55">
    <w:pPr>
      <w:pStyle w:val="31"/>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07E88">
    <w:pPr>
      <w:pStyle w:val="31"/>
      <w:ind w:firstLine="360"/>
    </w:pPr>
  </w:p>
  <w:p w14:paraId="393B92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14"/>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9"/>
    <w:multiLevelType w:val="singleLevel"/>
    <w:tmpl w:val="00000009"/>
    <w:lvl w:ilvl="0" w:tentative="0">
      <w:start w:val="8"/>
      <w:numFmt w:val="decimal"/>
      <w:pStyle w:val="21"/>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ZGY2ZDRhZDk1ZTcwMjM5ODcxZmQyMDE5NWEwZjAifQ=="/>
  </w:docVars>
  <w:rsids>
    <w:rsidRoot w:val="000912E2"/>
    <w:rsid w:val="000115A4"/>
    <w:rsid w:val="00066A1D"/>
    <w:rsid w:val="0007396A"/>
    <w:rsid w:val="000912E2"/>
    <w:rsid w:val="00100B17"/>
    <w:rsid w:val="0016781D"/>
    <w:rsid w:val="00201990"/>
    <w:rsid w:val="002064CE"/>
    <w:rsid w:val="002555B3"/>
    <w:rsid w:val="00266531"/>
    <w:rsid w:val="004773FD"/>
    <w:rsid w:val="004849BE"/>
    <w:rsid w:val="00497EFB"/>
    <w:rsid w:val="00533C62"/>
    <w:rsid w:val="00534A64"/>
    <w:rsid w:val="006E4A32"/>
    <w:rsid w:val="00775A0E"/>
    <w:rsid w:val="00780009"/>
    <w:rsid w:val="00793F0A"/>
    <w:rsid w:val="007C5BCB"/>
    <w:rsid w:val="008874CE"/>
    <w:rsid w:val="008A0B7F"/>
    <w:rsid w:val="008D3042"/>
    <w:rsid w:val="009150DC"/>
    <w:rsid w:val="00977541"/>
    <w:rsid w:val="00A10FC6"/>
    <w:rsid w:val="00A538ED"/>
    <w:rsid w:val="00A80DDB"/>
    <w:rsid w:val="00A80F01"/>
    <w:rsid w:val="00A8295A"/>
    <w:rsid w:val="00AB55F1"/>
    <w:rsid w:val="00AF5857"/>
    <w:rsid w:val="00B3486C"/>
    <w:rsid w:val="00B92E63"/>
    <w:rsid w:val="00BC594D"/>
    <w:rsid w:val="00BE232F"/>
    <w:rsid w:val="00C43509"/>
    <w:rsid w:val="00C62F75"/>
    <w:rsid w:val="00C971DE"/>
    <w:rsid w:val="00CA00D7"/>
    <w:rsid w:val="00CD53BB"/>
    <w:rsid w:val="00D45109"/>
    <w:rsid w:val="00D752A6"/>
    <w:rsid w:val="00EE2646"/>
    <w:rsid w:val="00F229E5"/>
    <w:rsid w:val="00F445BC"/>
    <w:rsid w:val="01076604"/>
    <w:rsid w:val="0250441F"/>
    <w:rsid w:val="026E0D49"/>
    <w:rsid w:val="03321D76"/>
    <w:rsid w:val="03804381"/>
    <w:rsid w:val="044004C3"/>
    <w:rsid w:val="076E0956"/>
    <w:rsid w:val="0A4E56B3"/>
    <w:rsid w:val="0AD11E75"/>
    <w:rsid w:val="0AD77801"/>
    <w:rsid w:val="0B1D330C"/>
    <w:rsid w:val="0CCD48BE"/>
    <w:rsid w:val="0DA505DC"/>
    <w:rsid w:val="10D82C85"/>
    <w:rsid w:val="10E063D9"/>
    <w:rsid w:val="12661A3D"/>
    <w:rsid w:val="127E28E2"/>
    <w:rsid w:val="149E726C"/>
    <w:rsid w:val="161A6DC6"/>
    <w:rsid w:val="178A1D29"/>
    <w:rsid w:val="18A84B5D"/>
    <w:rsid w:val="1AB4206D"/>
    <w:rsid w:val="1D1B5654"/>
    <w:rsid w:val="1E390A4F"/>
    <w:rsid w:val="1FB75686"/>
    <w:rsid w:val="1FD004F5"/>
    <w:rsid w:val="201B4CE7"/>
    <w:rsid w:val="202C1A6A"/>
    <w:rsid w:val="207E43F5"/>
    <w:rsid w:val="210E7527"/>
    <w:rsid w:val="211803A6"/>
    <w:rsid w:val="21263B39"/>
    <w:rsid w:val="221C2DAC"/>
    <w:rsid w:val="222A65E3"/>
    <w:rsid w:val="24515D4E"/>
    <w:rsid w:val="251D41DD"/>
    <w:rsid w:val="255641C8"/>
    <w:rsid w:val="267107DC"/>
    <w:rsid w:val="270B603D"/>
    <w:rsid w:val="27436609"/>
    <w:rsid w:val="27AC1848"/>
    <w:rsid w:val="29242A1C"/>
    <w:rsid w:val="2AE412F9"/>
    <w:rsid w:val="2B911481"/>
    <w:rsid w:val="2C7F1519"/>
    <w:rsid w:val="2E482BAF"/>
    <w:rsid w:val="2E7924DB"/>
    <w:rsid w:val="2E8E7DCA"/>
    <w:rsid w:val="2FC040E2"/>
    <w:rsid w:val="3027730B"/>
    <w:rsid w:val="31005AD5"/>
    <w:rsid w:val="31B9703B"/>
    <w:rsid w:val="31DF194D"/>
    <w:rsid w:val="323B2146"/>
    <w:rsid w:val="349735E7"/>
    <w:rsid w:val="35535869"/>
    <w:rsid w:val="35E14DB3"/>
    <w:rsid w:val="36D00581"/>
    <w:rsid w:val="375B6E52"/>
    <w:rsid w:val="377A31F5"/>
    <w:rsid w:val="38A37C38"/>
    <w:rsid w:val="391E2591"/>
    <w:rsid w:val="39375C9F"/>
    <w:rsid w:val="39CA37A1"/>
    <w:rsid w:val="3B210521"/>
    <w:rsid w:val="3B303F5F"/>
    <w:rsid w:val="3D127F47"/>
    <w:rsid w:val="40FA31CC"/>
    <w:rsid w:val="4213300A"/>
    <w:rsid w:val="427F375F"/>
    <w:rsid w:val="43242F31"/>
    <w:rsid w:val="433320BA"/>
    <w:rsid w:val="43553BBC"/>
    <w:rsid w:val="436F7EA2"/>
    <w:rsid w:val="45294080"/>
    <w:rsid w:val="461B60BF"/>
    <w:rsid w:val="472B0583"/>
    <w:rsid w:val="47AA14A8"/>
    <w:rsid w:val="48F331AB"/>
    <w:rsid w:val="495A7600"/>
    <w:rsid w:val="49903453"/>
    <w:rsid w:val="4A770929"/>
    <w:rsid w:val="4B0F20E6"/>
    <w:rsid w:val="4B46598C"/>
    <w:rsid w:val="4B6E4EE3"/>
    <w:rsid w:val="4BDD5354"/>
    <w:rsid w:val="4C17726F"/>
    <w:rsid w:val="4C9814EE"/>
    <w:rsid w:val="4DF95971"/>
    <w:rsid w:val="4FBA06F6"/>
    <w:rsid w:val="4FE03BE5"/>
    <w:rsid w:val="509E3B74"/>
    <w:rsid w:val="50B1368E"/>
    <w:rsid w:val="545118E0"/>
    <w:rsid w:val="55AF2380"/>
    <w:rsid w:val="55EC35D4"/>
    <w:rsid w:val="56B01BD3"/>
    <w:rsid w:val="57A04676"/>
    <w:rsid w:val="592C2EC1"/>
    <w:rsid w:val="59E6060A"/>
    <w:rsid w:val="5A99606D"/>
    <w:rsid w:val="5AB53F94"/>
    <w:rsid w:val="5AE61A9C"/>
    <w:rsid w:val="5B865931"/>
    <w:rsid w:val="5B9B13DC"/>
    <w:rsid w:val="5BDA662F"/>
    <w:rsid w:val="5C3D2493"/>
    <w:rsid w:val="5CE054F0"/>
    <w:rsid w:val="5DD24E5D"/>
    <w:rsid w:val="5DDB1F64"/>
    <w:rsid w:val="5DDC5CDC"/>
    <w:rsid w:val="5F407CD3"/>
    <w:rsid w:val="5F8108E9"/>
    <w:rsid w:val="60854409"/>
    <w:rsid w:val="63716EC6"/>
    <w:rsid w:val="63DE0B54"/>
    <w:rsid w:val="63F84F14"/>
    <w:rsid w:val="63FE69AC"/>
    <w:rsid w:val="652C12F7"/>
    <w:rsid w:val="657234E3"/>
    <w:rsid w:val="65B030BD"/>
    <w:rsid w:val="666D1BA3"/>
    <w:rsid w:val="66C90316"/>
    <w:rsid w:val="66EA0C2E"/>
    <w:rsid w:val="674D79C1"/>
    <w:rsid w:val="68FA37F4"/>
    <w:rsid w:val="698018CE"/>
    <w:rsid w:val="69B1576D"/>
    <w:rsid w:val="69EB1780"/>
    <w:rsid w:val="6E0077C5"/>
    <w:rsid w:val="70C60582"/>
    <w:rsid w:val="70C641F0"/>
    <w:rsid w:val="717B600A"/>
    <w:rsid w:val="71802656"/>
    <w:rsid w:val="741C69DA"/>
    <w:rsid w:val="76094B8F"/>
    <w:rsid w:val="77D758F1"/>
    <w:rsid w:val="77FE4D75"/>
    <w:rsid w:val="78212811"/>
    <w:rsid w:val="7CF95B0B"/>
    <w:rsid w:val="7D197F5B"/>
    <w:rsid w:val="7E220BE7"/>
    <w:rsid w:val="7F73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59"/>
    <w:autoRedefine/>
    <w:qFormat/>
    <w:uiPriority w:val="0"/>
    <w:pPr>
      <w:keepNext/>
      <w:keepLines/>
      <w:spacing w:before="340" w:after="330" w:line="576" w:lineRule="auto"/>
      <w:jc w:val="center"/>
      <w:outlineLvl w:val="0"/>
    </w:pPr>
    <w:rPr>
      <w:b/>
      <w:bCs/>
      <w:kern w:val="44"/>
      <w:sz w:val="44"/>
      <w:szCs w:val="44"/>
    </w:rPr>
  </w:style>
  <w:style w:type="paragraph" w:styleId="5">
    <w:name w:val="heading 2"/>
    <w:basedOn w:val="1"/>
    <w:next w:val="1"/>
    <w:link w:val="60"/>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61"/>
    <w:autoRedefine/>
    <w:qFormat/>
    <w:uiPriority w:val="0"/>
    <w:pPr>
      <w:keepNext/>
      <w:keepLines/>
      <w:spacing w:before="20" w:after="20" w:line="415" w:lineRule="auto"/>
      <w:ind w:firstLine="120" w:firstLineChars="49"/>
      <w:outlineLvl w:val="2"/>
    </w:pPr>
    <w:rPr>
      <w:rFonts w:hAnsi="黑体" w:eastAsia="黑体"/>
      <w:sz w:val="24"/>
      <w:szCs w:val="20"/>
    </w:rPr>
  </w:style>
  <w:style w:type="paragraph" w:styleId="7">
    <w:name w:val="heading 4"/>
    <w:basedOn w:val="1"/>
    <w:next w:val="1"/>
    <w:link w:val="62"/>
    <w:autoRedefine/>
    <w:qFormat/>
    <w:uiPriority w:val="0"/>
    <w:pPr>
      <w:keepNext/>
      <w:keepLines/>
      <w:spacing w:before="280" w:after="290" w:line="374" w:lineRule="auto"/>
      <w:outlineLvl w:val="3"/>
    </w:pPr>
    <w:rPr>
      <w:rFonts w:hint="eastAsia" w:ascii="Cambria" w:hAnsi="Cambria"/>
      <w:b/>
      <w:sz w:val="28"/>
      <w:szCs w:val="20"/>
    </w:rPr>
  </w:style>
  <w:style w:type="paragraph" w:styleId="8">
    <w:name w:val="heading 5"/>
    <w:basedOn w:val="1"/>
    <w:next w:val="1"/>
    <w:link w:val="63"/>
    <w:autoRedefine/>
    <w:qFormat/>
    <w:uiPriority w:val="0"/>
    <w:pPr>
      <w:keepNext/>
      <w:keepLines/>
      <w:spacing w:before="280" w:after="290" w:line="376" w:lineRule="auto"/>
      <w:outlineLvl w:val="4"/>
    </w:pPr>
    <w:rPr>
      <w:b/>
      <w:bCs/>
      <w:sz w:val="28"/>
      <w:szCs w:val="28"/>
    </w:rPr>
  </w:style>
  <w:style w:type="paragraph" w:styleId="9">
    <w:name w:val="heading 6"/>
    <w:basedOn w:val="1"/>
    <w:next w:val="1"/>
    <w:link w:val="6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0">
    <w:name w:val="heading 7"/>
    <w:basedOn w:val="1"/>
    <w:next w:val="1"/>
    <w:link w:val="65"/>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1">
    <w:name w:val="heading 8"/>
    <w:basedOn w:val="1"/>
    <w:next w:val="1"/>
    <w:link w:val="66"/>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2">
    <w:name w:val="heading 9"/>
    <w:basedOn w:val="1"/>
    <w:next w:val="1"/>
    <w:link w:val="67"/>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rPr>
  </w:style>
  <w:style w:type="character" w:default="1" w:styleId="51">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90"/>
    <w:autoRedefine/>
    <w:qFormat/>
    <w:uiPriority w:val="0"/>
    <w:rPr>
      <w:rFonts w:ascii="宋体"/>
      <w:sz w:val="24"/>
      <w:szCs w:val="20"/>
    </w:rPr>
  </w:style>
  <w:style w:type="paragraph" w:styleId="3">
    <w:name w:val="envelope return"/>
    <w:basedOn w:val="1"/>
    <w:autoRedefine/>
    <w:qFormat/>
    <w:uiPriority w:val="0"/>
    <w:pPr>
      <w:snapToGrid w:val="0"/>
    </w:pPr>
    <w:rPr>
      <w:rFonts w:ascii="Arial" w:hAnsi="Arial"/>
    </w:rPr>
  </w:style>
  <w:style w:type="paragraph" w:styleId="13">
    <w:name w:val="toc 7"/>
    <w:basedOn w:val="1"/>
    <w:next w:val="1"/>
    <w:autoRedefine/>
    <w:qFormat/>
    <w:uiPriority w:val="0"/>
    <w:pPr>
      <w:ind w:left="2520" w:leftChars="1200"/>
    </w:pPr>
  </w:style>
  <w:style w:type="paragraph" w:styleId="14">
    <w:name w:val="List Number"/>
    <w:basedOn w:val="1"/>
    <w:autoRedefine/>
    <w:qFormat/>
    <w:uiPriority w:val="0"/>
    <w:pPr>
      <w:widowControl/>
      <w:numPr>
        <w:ilvl w:val="0"/>
        <w:numId w:val="1"/>
      </w:numPr>
      <w:tabs>
        <w:tab w:val="left" w:pos="454"/>
        <w:tab w:val="left" w:pos="720"/>
      </w:tabs>
      <w:spacing w:after="156" w:afterLines="50"/>
      <w:ind w:left="454" w:hanging="284"/>
      <w:jc w:val="left"/>
    </w:pPr>
    <w:rPr>
      <w:kern w:val="0"/>
      <w:sz w:val="24"/>
      <w:szCs w:val="20"/>
    </w:rPr>
  </w:style>
  <w:style w:type="paragraph" w:styleId="15">
    <w:name w:val="Normal Indent"/>
    <w:basedOn w:val="1"/>
    <w:link w:val="86"/>
    <w:autoRedefine/>
    <w:qFormat/>
    <w:uiPriority w:val="0"/>
    <w:rPr>
      <w:b/>
      <w:sz w:val="24"/>
      <w:szCs w:val="20"/>
    </w:rPr>
  </w:style>
  <w:style w:type="paragraph" w:styleId="16">
    <w:name w:val="caption"/>
    <w:basedOn w:val="1"/>
    <w:next w:val="1"/>
    <w:autoRedefine/>
    <w:qFormat/>
    <w:uiPriority w:val="0"/>
    <w:rPr>
      <w:rFonts w:ascii="Cambria" w:hAnsi="Cambria" w:eastAsia="黑体"/>
      <w:sz w:val="20"/>
      <w:szCs w:val="20"/>
    </w:rPr>
  </w:style>
  <w:style w:type="paragraph" w:styleId="17">
    <w:name w:val="Document Map"/>
    <w:basedOn w:val="1"/>
    <w:link w:val="87"/>
    <w:autoRedefine/>
    <w:qFormat/>
    <w:uiPriority w:val="0"/>
    <w:pPr>
      <w:shd w:val="clear" w:color="auto" w:fill="000080"/>
    </w:pPr>
  </w:style>
  <w:style w:type="paragraph" w:styleId="18">
    <w:name w:val="annotation text"/>
    <w:basedOn w:val="1"/>
    <w:link w:val="88"/>
    <w:autoRedefine/>
    <w:qFormat/>
    <w:uiPriority w:val="0"/>
    <w:pPr>
      <w:jc w:val="left"/>
    </w:pPr>
    <w:rPr>
      <w:szCs w:val="20"/>
    </w:rPr>
  </w:style>
  <w:style w:type="paragraph" w:styleId="19">
    <w:name w:val="Body Text 3"/>
    <w:basedOn w:val="1"/>
    <w:link w:val="89"/>
    <w:autoRedefine/>
    <w:qFormat/>
    <w:uiPriority w:val="0"/>
    <w:rPr>
      <w:rFonts w:ascii="宋体"/>
      <w:sz w:val="24"/>
      <w:szCs w:val="20"/>
    </w:rPr>
  </w:style>
  <w:style w:type="paragraph" w:styleId="20">
    <w:name w:val="Body Text"/>
    <w:basedOn w:val="1"/>
    <w:link w:val="70"/>
    <w:autoRedefine/>
    <w:qFormat/>
    <w:uiPriority w:val="0"/>
    <w:pPr>
      <w:spacing w:after="120"/>
      <w:ind w:firstLine="425" w:firstLineChars="177"/>
    </w:pPr>
  </w:style>
  <w:style w:type="paragraph" w:styleId="21">
    <w:name w:val="List Number 3"/>
    <w:basedOn w:val="1"/>
    <w:autoRedefine/>
    <w:qFormat/>
    <w:uiPriority w:val="0"/>
    <w:pPr>
      <w:numPr>
        <w:ilvl w:val="0"/>
        <w:numId w:val="2"/>
      </w:numPr>
      <w:tabs>
        <w:tab w:val="left" w:pos="1200"/>
      </w:tabs>
    </w:pPr>
  </w:style>
  <w:style w:type="paragraph" w:styleId="22">
    <w:name w:val="List 2"/>
    <w:basedOn w:val="1"/>
    <w:autoRedefine/>
    <w:qFormat/>
    <w:uiPriority w:val="0"/>
    <w:pPr>
      <w:ind w:left="100" w:leftChars="200" w:hanging="200" w:hangingChars="200"/>
    </w:pPr>
    <w:rPr>
      <w:sz w:val="28"/>
    </w:rPr>
  </w:style>
  <w:style w:type="paragraph" w:styleId="23">
    <w:name w:val="toc 5"/>
    <w:basedOn w:val="1"/>
    <w:next w:val="1"/>
    <w:autoRedefine/>
    <w:qFormat/>
    <w:uiPriority w:val="0"/>
    <w:pPr>
      <w:ind w:left="1680" w:leftChars="800"/>
    </w:pPr>
  </w:style>
  <w:style w:type="paragraph" w:styleId="24">
    <w:name w:val="toc 3"/>
    <w:basedOn w:val="1"/>
    <w:next w:val="1"/>
    <w:autoRedefine/>
    <w:qFormat/>
    <w:uiPriority w:val="0"/>
    <w:pPr>
      <w:ind w:left="840" w:leftChars="400"/>
      <w:jc w:val="left"/>
    </w:pPr>
  </w:style>
  <w:style w:type="paragraph" w:styleId="25">
    <w:name w:val="Plain Text"/>
    <w:basedOn w:val="1"/>
    <w:link w:val="76"/>
    <w:autoRedefine/>
    <w:qFormat/>
    <w:uiPriority w:val="0"/>
    <w:rPr>
      <w:rFonts w:ascii="宋体" w:hAnsi="Courier New" w:eastAsiaTheme="minorEastAsia" w:cstheme="minorBidi"/>
      <w:sz w:val="28"/>
    </w:rPr>
  </w:style>
  <w:style w:type="paragraph" w:styleId="26">
    <w:name w:val="toc 8"/>
    <w:basedOn w:val="1"/>
    <w:next w:val="1"/>
    <w:autoRedefine/>
    <w:qFormat/>
    <w:uiPriority w:val="0"/>
    <w:pPr>
      <w:ind w:left="2940" w:leftChars="1400"/>
    </w:pPr>
  </w:style>
  <w:style w:type="paragraph" w:styleId="27">
    <w:name w:val="Date"/>
    <w:basedOn w:val="1"/>
    <w:next w:val="1"/>
    <w:link w:val="91"/>
    <w:autoRedefine/>
    <w:qFormat/>
    <w:uiPriority w:val="0"/>
    <w:pPr>
      <w:ind w:left="100" w:leftChars="2500"/>
    </w:pPr>
  </w:style>
  <w:style w:type="paragraph" w:styleId="28">
    <w:name w:val="Body Text Indent 2"/>
    <w:basedOn w:val="1"/>
    <w:next w:val="1"/>
    <w:link w:val="71"/>
    <w:autoRedefine/>
    <w:qFormat/>
    <w:uiPriority w:val="0"/>
    <w:pPr>
      <w:spacing w:line="420" w:lineRule="exact"/>
      <w:ind w:firstLine="520"/>
    </w:pPr>
    <w:rPr>
      <w:rFonts w:ascii="宋体" w:cs="宋体"/>
      <w:szCs w:val="20"/>
    </w:rPr>
  </w:style>
  <w:style w:type="paragraph" w:styleId="29">
    <w:name w:val="Balloon Text"/>
    <w:basedOn w:val="1"/>
    <w:link w:val="92"/>
    <w:autoRedefine/>
    <w:qFormat/>
    <w:uiPriority w:val="0"/>
    <w:rPr>
      <w:sz w:val="18"/>
      <w:szCs w:val="18"/>
    </w:rPr>
  </w:style>
  <w:style w:type="paragraph" w:styleId="30">
    <w:name w:val="footer"/>
    <w:basedOn w:val="1"/>
    <w:link w:val="69"/>
    <w:autoRedefine/>
    <w:qFormat/>
    <w:uiPriority w:val="0"/>
    <w:pPr>
      <w:tabs>
        <w:tab w:val="center" w:pos="4140"/>
        <w:tab w:val="right" w:pos="8300"/>
      </w:tabs>
      <w:snapToGrid w:val="0"/>
      <w:jc w:val="left"/>
    </w:pPr>
    <w:rPr>
      <w:sz w:val="18"/>
      <w:szCs w:val="20"/>
    </w:rPr>
  </w:style>
  <w:style w:type="paragraph" w:styleId="31">
    <w:name w:val="header"/>
    <w:basedOn w:val="1"/>
    <w:link w:val="68"/>
    <w:autoRedefine/>
    <w:qFormat/>
    <w:uiPriority w:val="0"/>
    <w:pPr>
      <w:tabs>
        <w:tab w:val="center" w:pos="4140"/>
        <w:tab w:val="right" w:pos="8300"/>
      </w:tabs>
      <w:snapToGrid w:val="0"/>
    </w:pPr>
    <w:rPr>
      <w:sz w:val="18"/>
      <w:szCs w:val="20"/>
    </w:rPr>
  </w:style>
  <w:style w:type="paragraph" w:styleId="32">
    <w:name w:val="toc 1"/>
    <w:basedOn w:val="1"/>
    <w:next w:val="1"/>
    <w:autoRedefine/>
    <w:qFormat/>
    <w:uiPriority w:val="0"/>
    <w:pPr>
      <w:jc w:val="left"/>
    </w:pPr>
  </w:style>
  <w:style w:type="paragraph" w:styleId="33">
    <w:name w:val="toc 4"/>
    <w:basedOn w:val="1"/>
    <w:next w:val="1"/>
    <w:autoRedefine/>
    <w:qFormat/>
    <w:uiPriority w:val="0"/>
    <w:pPr>
      <w:ind w:left="1260" w:leftChars="600"/>
    </w:pPr>
  </w:style>
  <w:style w:type="paragraph" w:styleId="34">
    <w:name w:val="Subtitle"/>
    <w:basedOn w:val="1"/>
    <w:next w:val="1"/>
    <w:link w:val="93"/>
    <w:autoRedefine/>
    <w:qFormat/>
    <w:uiPriority w:val="0"/>
    <w:pPr>
      <w:spacing w:before="240" w:after="60" w:line="312" w:lineRule="auto"/>
      <w:jc w:val="center"/>
      <w:outlineLvl w:val="1"/>
    </w:pPr>
    <w:rPr>
      <w:rFonts w:ascii="Cambria" w:hAnsi="Cambria"/>
      <w:b/>
      <w:bCs/>
      <w:kern w:val="28"/>
      <w:sz w:val="32"/>
      <w:szCs w:val="32"/>
    </w:rPr>
  </w:style>
  <w:style w:type="paragraph" w:styleId="35">
    <w:name w:val="List"/>
    <w:basedOn w:val="1"/>
    <w:autoRedefine/>
    <w:qFormat/>
    <w:uiPriority w:val="0"/>
    <w:pPr>
      <w:ind w:left="200" w:hanging="200" w:hangingChars="200"/>
    </w:pPr>
    <w:rPr>
      <w:sz w:val="28"/>
    </w:rPr>
  </w:style>
  <w:style w:type="paragraph" w:styleId="36">
    <w:name w:val="footnote text"/>
    <w:basedOn w:val="1"/>
    <w:link w:val="94"/>
    <w:autoRedefine/>
    <w:qFormat/>
    <w:uiPriority w:val="0"/>
    <w:rPr>
      <w:sz w:val="20"/>
      <w:szCs w:val="20"/>
    </w:rPr>
  </w:style>
  <w:style w:type="paragraph" w:styleId="37">
    <w:name w:val="toc 6"/>
    <w:basedOn w:val="1"/>
    <w:next w:val="1"/>
    <w:autoRedefine/>
    <w:qFormat/>
    <w:uiPriority w:val="0"/>
    <w:pPr>
      <w:ind w:left="2100" w:leftChars="1000"/>
    </w:pPr>
  </w:style>
  <w:style w:type="paragraph" w:styleId="38">
    <w:name w:val="Body Text Indent 3"/>
    <w:basedOn w:val="1"/>
    <w:link w:val="95"/>
    <w:autoRedefine/>
    <w:qFormat/>
    <w:uiPriority w:val="0"/>
    <w:pPr>
      <w:spacing w:after="120"/>
      <w:ind w:left="420" w:leftChars="200"/>
    </w:pPr>
    <w:rPr>
      <w:sz w:val="16"/>
      <w:szCs w:val="16"/>
    </w:rPr>
  </w:style>
  <w:style w:type="paragraph" w:styleId="39">
    <w:name w:val="table of figures"/>
    <w:basedOn w:val="1"/>
    <w:next w:val="1"/>
    <w:autoRedefine/>
    <w:qFormat/>
    <w:uiPriority w:val="0"/>
    <w:pPr>
      <w:ind w:left="200" w:leftChars="200" w:hanging="200" w:hangingChars="200"/>
    </w:pPr>
  </w:style>
  <w:style w:type="paragraph" w:styleId="40">
    <w:name w:val="toc 2"/>
    <w:basedOn w:val="1"/>
    <w:next w:val="1"/>
    <w:autoRedefine/>
    <w:qFormat/>
    <w:uiPriority w:val="0"/>
    <w:pPr>
      <w:ind w:left="420" w:leftChars="200"/>
      <w:jc w:val="left"/>
    </w:pPr>
  </w:style>
  <w:style w:type="paragraph" w:styleId="41">
    <w:name w:val="toc 9"/>
    <w:basedOn w:val="1"/>
    <w:next w:val="1"/>
    <w:autoRedefine/>
    <w:qFormat/>
    <w:uiPriority w:val="0"/>
    <w:pPr>
      <w:ind w:left="3360" w:leftChars="1600"/>
    </w:pPr>
  </w:style>
  <w:style w:type="paragraph" w:styleId="42">
    <w:name w:val="Body Text 2"/>
    <w:basedOn w:val="1"/>
    <w:link w:val="96"/>
    <w:autoRedefine/>
    <w:qFormat/>
    <w:uiPriority w:val="0"/>
    <w:pPr>
      <w:widowControl/>
      <w:snapToGrid w:val="0"/>
      <w:spacing w:before="50" w:after="156" w:afterLines="50" w:line="400" w:lineRule="exact"/>
      <w:jc w:val="left"/>
    </w:pPr>
    <w:rPr>
      <w:rFonts w:ascii="宋体" w:hAnsi="宋体"/>
      <w:color w:val="000000"/>
      <w:sz w:val="24"/>
    </w:rPr>
  </w:style>
  <w:style w:type="paragraph" w:styleId="43">
    <w:name w:val="List Continue 2"/>
    <w:basedOn w:val="1"/>
    <w:autoRedefine/>
    <w:qFormat/>
    <w:uiPriority w:val="0"/>
    <w:pPr>
      <w:spacing w:after="120"/>
      <w:ind w:left="840"/>
    </w:pPr>
  </w:style>
  <w:style w:type="paragraph" w:styleId="4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45">
    <w:name w:val="Title"/>
    <w:basedOn w:val="1"/>
    <w:link w:val="97"/>
    <w:autoRedefine/>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6">
    <w:name w:val="annotation subject"/>
    <w:basedOn w:val="18"/>
    <w:next w:val="18"/>
    <w:link w:val="98"/>
    <w:autoRedefine/>
    <w:qFormat/>
    <w:uiPriority w:val="0"/>
    <w:rPr>
      <w:b/>
      <w:bCs/>
      <w:szCs w:val="24"/>
    </w:rPr>
  </w:style>
  <w:style w:type="paragraph" w:styleId="47">
    <w:name w:val="Body Text First Indent"/>
    <w:basedOn w:val="20"/>
    <w:link w:val="80"/>
    <w:autoRedefine/>
    <w:qFormat/>
    <w:uiPriority w:val="0"/>
    <w:pPr>
      <w:ind w:firstLine="420" w:firstLineChars="100"/>
    </w:pPr>
  </w:style>
  <w:style w:type="paragraph" w:styleId="48">
    <w:name w:val="Body Text First Indent 2"/>
    <w:basedOn w:val="2"/>
    <w:link w:val="99"/>
    <w:autoRedefine/>
    <w:qFormat/>
    <w:uiPriority w:val="0"/>
    <w:pPr>
      <w:spacing w:line="200" w:lineRule="exact"/>
      <w:ind w:firstLine="200"/>
    </w:pPr>
    <w:rPr>
      <w:rFonts w:ascii="Times New Roman"/>
      <w:spacing w:val="-4"/>
      <w:sz w:val="18"/>
      <w:lang w:val="zh-CN"/>
    </w:rPr>
  </w:style>
  <w:style w:type="table" w:styleId="50">
    <w:name w:val="Table Grid"/>
    <w:basedOn w:val="4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autoRedefine/>
    <w:qFormat/>
    <w:uiPriority w:val="0"/>
    <w:rPr>
      <w:rFonts w:ascii="Times New Roman" w:hAnsi="Times New Roman" w:eastAsia="宋体" w:cs="Times New Roman"/>
      <w:b/>
      <w:bCs/>
    </w:rPr>
  </w:style>
  <w:style w:type="character" w:styleId="53">
    <w:name w:val="page number"/>
    <w:autoRedefine/>
    <w:qFormat/>
    <w:uiPriority w:val="0"/>
    <w:rPr>
      <w:rFonts w:ascii="Times New Roman" w:hAnsi="Times New Roman" w:eastAsia="宋体" w:cs="Times New Roman"/>
    </w:rPr>
  </w:style>
  <w:style w:type="character" w:styleId="54">
    <w:name w:val="FollowedHyperlink"/>
    <w:autoRedefine/>
    <w:qFormat/>
    <w:uiPriority w:val="0"/>
    <w:rPr>
      <w:rFonts w:ascii="Times New Roman" w:hAnsi="Times New Roman" w:eastAsia="宋体" w:cs="Times New Roman"/>
      <w:color w:val="800080"/>
      <w:u w:val="none"/>
    </w:rPr>
  </w:style>
  <w:style w:type="character" w:styleId="55">
    <w:name w:val="Emphasis"/>
    <w:autoRedefine/>
    <w:qFormat/>
    <w:uiPriority w:val="0"/>
    <w:rPr>
      <w:rFonts w:ascii="Times New Roman" w:hAnsi="Times New Roman" w:eastAsia="宋体" w:cs="Times New Roman"/>
      <w:i/>
      <w:iCs/>
    </w:rPr>
  </w:style>
  <w:style w:type="character" w:styleId="56">
    <w:name w:val="Hyperlink"/>
    <w:autoRedefine/>
    <w:qFormat/>
    <w:uiPriority w:val="0"/>
    <w:rPr>
      <w:rFonts w:ascii="Times New Roman" w:hAnsi="Times New Roman" w:eastAsia="宋体" w:cs="Times New Roman"/>
      <w:color w:val="0000FF"/>
      <w:sz w:val="21"/>
      <w:u w:val="none"/>
    </w:rPr>
  </w:style>
  <w:style w:type="character" w:styleId="57">
    <w:name w:val="annotation reference"/>
    <w:autoRedefine/>
    <w:qFormat/>
    <w:uiPriority w:val="0"/>
    <w:rPr>
      <w:rFonts w:ascii="Times New Roman" w:hAnsi="Times New Roman" w:eastAsia="宋体" w:cs="Times New Roman"/>
      <w:sz w:val="21"/>
      <w:szCs w:val="21"/>
    </w:rPr>
  </w:style>
  <w:style w:type="character" w:styleId="58">
    <w:name w:val="footnote reference"/>
    <w:autoRedefine/>
    <w:qFormat/>
    <w:uiPriority w:val="0"/>
    <w:rPr>
      <w:rFonts w:ascii="Times New Roman" w:hAnsi="Times New Roman" w:eastAsia="宋体" w:cs="Times New Roman"/>
      <w:vertAlign w:val="superscript"/>
    </w:rPr>
  </w:style>
  <w:style w:type="character" w:customStyle="1" w:styleId="59">
    <w:name w:val="标题 1 Char1"/>
    <w:basedOn w:val="51"/>
    <w:link w:val="4"/>
    <w:autoRedefine/>
    <w:qFormat/>
    <w:uiPriority w:val="0"/>
    <w:rPr>
      <w:rFonts w:ascii="Times New Roman" w:hAnsi="Times New Roman" w:eastAsia="宋体" w:cs="Times New Roman"/>
      <w:b/>
      <w:bCs/>
      <w:kern w:val="44"/>
      <w:sz w:val="44"/>
      <w:szCs w:val="44"/>
    </w:rPr>
  </w:style>
  <w:style w:type="character" w:customStyle="1" w:styleId="60">
    <w:name w:val="标题 2 Char1"/>
    <w:basedOn w:val="51"/>
    <w:link w:val="5"/>
    <w:autoRedefine/>
    <w:qFormat/>
    <w:uiPriority w:val="0"/>
    <w:rPr>
      <w:rFonts w:ascii="Arial" w:hAnsi="Arial" w:eastAsia="黑体" w:cs="Arial"/>
      <w:b/>
      <w:bCs/>
      <w:sz w:val="32"/>
      <w:szCs w:val="32"/>
    </w:rPr>
  </w:style>
  <w:style w:type="character" w:customStyle="1" w:styleId="61">
    <w:name w:val="标题 3 Char2"/>
    <w:basedOn w:val="51"/>
    <w:link w:val="6"/>
    <w:autoRedefine/>
    <w:qFormat/>
    <w:uiPriority w:val="0"/>
    <w:rPr>
      <w:rFonts w:ascii="Times New Roman" w:hAnsi="黑体" w:eastAsia="黑体" w:cs="Times New Roman"/>
      <w:sz w:val="24"/>
      <w:szCs w:val="20"/>
    </w:rPr>
  </w:style>
  <w:style w:type="character" w:customStyle="1" w:styleId="62">
    <w:name w:val="标题 4 Char1"/>
    <w:basedOn w:val="51"/>
    <w:link w:val="7"/>
    <w:autoRedefine/>
    <w:qFormat/>
    <w:uiPriority w:val="0"/>
    <w:rPr>
      <w:rFonts w:ascii="Cambria" w:hAnsi="Cambria" w:eastAsia="宋体" w:cs="Times New Roman"/>
      <w:b/>
      <w:sz w:val="28"/>
      <w:szCs w:val="20"/>
    </w:rPr>
  </w:style>
  <w:style w:type="character" w:customStyle="1" w:styleId="63">
    <w:name w:val="标题 5 Char"/>
    <w:basedOn w:val="51"/>
    <w:link w:val="8"/>
    <w:autoRedefine/>
    <w:qFormat/>
    <w:uiPriority w:val="0"/>
    <w:rPr>
      <w:rFonts w:ascii="Times New Roman" w:hAnsi="Times New Roman" w:eastAsia="宋体" w:cs="Times New Roman"/>
      <w:b/>
      <w:bCs/>
      <w:sz w:val="28"/>
      <w:szCs w:val="28"/>
    </w:rPr>
  </w:style>
  <w:style w:type="character" w:customStyle="1" w:styleId="64">
    <w:name w:val="标题 6 Char"/>
    <w:basedOn w:val="51"/>
    <w:link w:val="9"/>
    <w:autoRedefine/>
    <w:qFormat/>
    <w:uiPriority w:val="0"/>
    <w:rPr>
      <w:rFonts w:ascii="Arial" w:hAnsi="Arial" w:eastAsia="黑体" w:cs="Times New Roman"/>
      <w:b/>
      <w:bCs/>
      <w:kern w:val="0"/>
      <w:sz w:val="24"/>
    </w:rPr>
  </w:style>
  <w:style w:type="character" w:customStyle="1" w:styleId="65">
    <w:name w:val="标题 7 Char"/>
    <w:basedOn w:val="51"/>
    <w:link w:val="10"/>
    <w:autoRedefine/>
    <w:qFormat/>
    <w:uiPriority w:val="0"/>
    <w:rPr>
      <w:rFonts w:ascii="Times New Roman" w:hAnsi="Times New Roman" w:eastAsia="宋体" w:cs="Times New Roman"/>
      <w:b/>
      <w:bCs/>
      <w:kern w:val="0"/>
      <w:sz w:val="24"/>
    </w:rPr>
  </w:style>
  <w:style w:type="character" w:customStyle="1" w:styleId="66">
    <w:name w:val="标题 8 Char"/>
    <w:basedOn w:val="51"/>
    <w:link w:val="11"/>
    <w:autoRedefine/>
    <w:qFormat/>
    <w:uiPriority w:val="0"/>
    <w:rPr>
      <w:rFonts w:ascii="Arial" w:hAnsi="Arial" w:eastAsia="黑体" w:cs="Times New Roman"/>
      <w:kern w:val="0"/>
      <w:sz w:val="24"/>
    </w:rPr>
  </w:style>
  <w:style w:type="character" w:customStyle="1" w:styleId="67">
    <w:name w:val="标题 9 Char"/>
    <w:basedOn w:val="51"/>
    <w:link w:val="12"/>
    <w:autoRedefine/>
    <w:qFormat/>
    <w:uiPriority w:val="0"/>
    <w:rPr>
      <w:rFonts w:ascii="Arial" w:hAnsi="Arial" w:eastAsia="黑体" w:cs="Times New Roman"/>
      <w:kern w:val="0"/>
      <w:szCs w:val="21"/>
    </w:rPr>
  </w:style>
  <w:style w:type="character" w:customStyle="1" w:styleId="68">
    <w:name w:val="页眉 Char2"/>
    <w:basedOn w:val="51"/>
    <w:link w:val="31"/>
    <w:autoRedefine/>
    <w:qFormat/>
    <w:uiPriority w:val="0"/>
    <w:rPr>
      <w:rFonts w:ascii="Times New Roman" w:hAnsi="Times New Roman" w:eastAsia="宋体" w:cs="Times New Roman"/>
      <w:sz w:val="18"/>
      <w:szCs w:val="20"/>
    </w:rPr>
  </w:style>
  <w:style w:type="character" w:customStyle="1" w:styleId="69">
    <w:name w:val="页脚 Char2"/>
    <w:basedOn w:val="51"/>
    <w:link w:val="30"/>
    <w:autoRedefine/>
    <w:qFormat/>
    <w:uiPriority w:val="0"/>
    <w:rPr>
      <w:rFonts w:ascii="Times New Roman" w:hAnsi="Times New Roman" w:eastAsia="宋体" w:cs="Times New Roman"/>
      <w:sz w:val="18"/>
      <w:szCs w:val="20"/>
    </w:rPr>
  </w:style>
  <w:style w:type="character" w:customStyle="1" w:styleId="70">
    <w:name w:val="正文文本 Char1"/>
    <w:basedOn w:val="51"/>
    <w:link w:val="20"/>
    <w:autoRedefine/>
    <w:qFormat/>
    <w:uiPriority w:val="0"/>
    <w:rPr>
      <w:kern w:val="2"/>
      <w:sz w:val="21"/>
      <w:szCs w:val="24"/>
    </w:rPr>
  </w:style>
  <w:style w:type="character" w:customStyle="1" w:styleId="71">
    <w:name w:val="正文文本缩进 2 Char1"/>
    <w:basedOn w:val="51"/>
    <w:link w:val="28"/>
    <w:autoRedefine/>
    <w:qFormat/>
    <w:uiPriority w:val="0"/>
    <w:rPr>
      <w:rFonts w:ascii="宋体" w:hAnsi="Times New Roman" w:eastAsia="宋体" w:cs="宋体"/>
      <w:szCs w:val="20"/>
    </w:rPr>
  </w:style>
  <w:style w:type="paragraph" w:customStyle="1" w:styleId="72">
    <w:name w:val="WPSOffice手动目录 1"/>
    <w:autoRedefine/>
    <w:qFormat/>
    <w:uiPriority w:val="0"/>
    <w:rPr>
      <w:rFonts w:ascii="Times New Roman" w:hAnsi="Times New Roman" w:eastAsia="宋体" w:cs="Times New Roman"/>
      <w:lang w:val="en-US" w:eastAsia="zh-CN" w:bidi="ar-SA"/>
    </w:rPr>
  </w:style>
  <w:style w:type="paragraph" w:customStyle="1" w:styleId="73">
    <w:name w:val="样式 标题 2 + 黑色 行距: 1.5 倍行距"/>
    <w:basedOn w:val="5"/>
    <w:autoRedefine/>
    <w:qFormat/>
    <w:uiPriority w:val="0"/>
    <w:pPr>
      <w:spacing w:line="360" w:lineRule="auto"/>
    </w:pPr>
    <w:rPr>
      <w:rFonts w:ascii="Times New Roman" w:hAnsi="Times New Roman" w:eastAsia="宋体" w:cs="宋体"/>
      <w:color w:val="000000"/>
    </w:rPr>
  </w:style>
  <w:style w:type="paragraph" w:customStyle="1" w:styleId="74">
    <w:name w:val="无间隔1"/>
    <w:autoRedefine/>
    <w:qFormat/>
    <w:uiPriority w:val="0"/>
    <w:rPr>
      <w:rFonts w:ascii="Calibri" w:hAnsi="Calibri" w:eastAsia="宋体" w:cs="Calibri"/>
      <w:sz w:val="22"/>
      <w:szCs w:val="22"/>
      <w:lang w:val="en-US" w:eastAsia="en-US" w:bidi="ar-SA"/>
    </w:rPr>
  </w:style>
  <w:style w:type="character" w:customStyle="1" w:styleId="75">
    <w:name w:val="标题 2 Char"/>
    <w:autoRedefine/>
    <w:qFormat/>
    <w:uiPriority w:val="0"/>
    <w:rPr>
      <w:rFonts w:ascii="Arial" w:hAnsi="Arial" w:eastAsia="黑体" w:cs="Times New Roman"/>
      <w:b/>
      <w:bCs/>
      <w:kern w:val="2"/>
      <w:sz w:val="32"/>
      <w:szCs w:val="32"/>
    </w:rPr>
  </w:style>
  <w:style w:type="character" w:customStyle="1" w:styleId="76">
    <w:name w:val="纯文本 Char"/>
    <w:link w:val="25"/>
    <w:autoRedefine/>
    <w:qFormat/>
    <w:uiPriority w:val="0"/>
    <w:rPr>
      <w:rFonts w:ascii="宋体" w:hAnsi="Courier New"/>
      <w:sz w:val="28"/>
    </w:rPr>
  </w:style>
  <w:style w:type="character" w:customStyle="1" w:styleId="77">
    <w:name w:val="纯文本 字符1"/>
    <w:basedOn w:val="51"/>
    <w:autoRedefine/>
    <w:semiHidden/>
    <w:qFormat/>
    <w:uiPriority w:val="99"/>
    <w:rPr>
      <w:rFonts w:hAnsi="Courier New" w:cs="Courier New" w:asciiTheme="minorEastAsia"/>
    </w:rPr>
  </w:style>
  <w:style w:type="paragraph" w:customStyle="1" w:styleId="78">
    <w:name w:val="纯文本11"/>
    <w:basedOn w:val="1"/>
    <w:autoRedefine/>
    <w:qFormat/>
    <w:uiPriority w:val="0"/>
    <w:pPr>
      <w:adjustRightInd w:val="0"/>
      <w:textAlignment w:val="baseline"/>
    </w:pPr>
    <w:rPr>
      <w:rFonts w:ascii="宋体" w:hAnsi="Courier New" w:eastAsia="楷体_GB2312"/>
      <w:sz w:val="26"/>
    </w:rPr>
  </w:style>
  <w:style w:type="character" w:customStyle="1" w:styleId="79">
    <w:name w:val="正文文本 Char"/>
    <w:autoRedefine/>
    <w:qFormat/>
    <w:uiPriority w:val="0"/>
    <w:rPr>
      <w:rFonts w:ascii="Times New Roman" w:hAnsi="Times New Roman" w:eastAsia="宋体" w:cs="Times New Roman"/>
      <w:kern w:val="2"/>
      <w:sz w:val="21"/>
      <w:szCs w:val="24"/>
    </w:rPr>
  </w:style>
  <w:style w:type="character" w:customStyle="1" w:styleId="80">
    <w:name w:val="正文首行缩进 Char"/>
    <w:basedOn w:val="70"/>
    <w:link w:val="47"/>
    <w:autoRedefine/>
    <w:qFormat/>
    <w:uiPriority w:val="0"/>
    <w:rPr>
      <w:rFonts w:ascii="Times New Roman" w:hAnsi="Times New Roman" w:eastAsia="宋体" w:cs="Times New Roman"/>
      <w:kern w:val="2"/>
      <w:sz w:val="21"/>
      <w:szCs w:val="24"/>
    </w:rPr>
  </w:style>
  <w:style w:type="character" w:customStyle="1" w:styleId="81">
    <w:name w:val="页眉 Char1"/>
    <w:autoRedefine/>
    <w:qFormat/>
    <w:uiPriority w:val="0"/>
    <w:rPr>
      <w:rFonts w:hint="default" w:ascii="Times New Roman" w:hAnsi="Times New Roman" w:eastAsia="宋体" w:cs="Times New Roman"/>
      <w:kern w:val="2"/>
      <w:sz w:val="18"/>
      <w:lang w:val="en-US" w:eastAsia="zh-CN"/>
    </w:rPr>
  </w:style>
  <w:style w:type="character" w:customStyle="1" w:styleId="82">
    <w:name w:val="页脚 Char1"/>
    <w:autoRedefine/>
    <w:qFormat/>
    <w:uiPriority w:val="0"/>
    <w:rPr>
      <w:rFonts w:hint="default" w:ascii="Times New Roman" w:hAnsi="Times New Roman" w:eastAsia="宋体" w:cs="Times New Roman"/>
      <w:kern w:val="2"/>
      <w:sz w:val="18"/>
    </w:rPr>
  </w:style>
  <w:style w:type="character" w:customStyle="1" w:styleId="83">
    <w:name w:val="正文文本缩进 2 Char"/>
    <w:autoRedefine/>
    <w:qFormat/>
    <w:uiPriority w:val="0"/>
    <w:rPr>
      <w:rFonts w:ascii="宋体" w:hAnsi="Times New Roman" w:eastAsia="宋体" w:cs="Times New Roman"/>
      <w:kern w:val="2"/>
      <w:sz w:val="21"/>
    </w:rPr>
  </w:style>
  <w:style w:type="character" w:customStyle="1" w:styleId="84">
    <w:name w:val="标题 1 Char"/>
    <w:autoRedefine/>
    <w:qFormat/>
    <w:uiPriority w:val="0"/>
    <w:rPr>
      <w:rFonts w:ascii="Times New Roman" w:hAnsi="Times New Roman" w:eastAsia="宋体" w:cs="Times New Roman"/>
      <w:b/>
      <w:bCs/>
      <w:kern w:val="44"/>
      <w:sz w:val="44"/>
      <w:szCs w:val="44"/>
    </w:rPr>
  </w:style>
  <w:style w:type="character" w:customStyle="1" w:styleId="85">
    <w:name w:val="标题 3 Char1"/>
    <w:autoRedefine/>
    <w:qFormat/>
    <w:uiPriority w:val="0"/>
    <w:rPr>
      <w:rFonts w:hint="default" w:ascii="Times New Roman" w:hAnsi="黑体" w:eastAsia="黑体" w:cs="Times New Roman"/>
      <w:kern w:val="2"/>
      <w:sz w:val="24"/>
    </w:rPr>
  </w:style>
  <w:style w:type="character" w:customStyle="1" w:styleId="86">
    <w:name w:val="正文缩进 Char"/>
    <w:link w:val="15"/>
    <w:autoRedefine/>
    <w:qFormat/>
    <w:uiPriority w:val="0"/>
    <w:rPr>
      <w:rFonts w:ascii="Times New Roman" w:hAnsi="Times New Roman" w:eastAsia="宋体" w:cs="Times New Roman"/>
      <w:b/>
      <w:sz w:val="24"/>
      <w:szCs w:val="20"/>
    </w:rPr>
  </w:style>
  <w:style w:type="character" w:customStyle="1" w:styleId="87">
    <w:name w:val="文档结构图 Char"/>
    <w:basedOn w:val="51"/>
    <w:link w:val="17"/>
    <w:autoRedefine/>
    <w:qFormat/>
    <w:uiPriority w:val="0"/>
    <w:rPr>
      <w:rFonts w:ascii="Times New Roman" w:hAnsi="Times New Roman" w:eastAsia="宋体" w:cs="Times New Roman"/>
      <w:shd w:val="clear" w:color="auto" w:fill="000080"/>
    </w:rPr>
  </w:style>
  <w:style w:type="character" w:customStyle="1" w:styleId="88">
    <w:name w:val="批注文字 Char1"/>
    <w:basedOn w:val="51"/>
    <w:link w:val="18"/>
    <w:autoRedefine/>
    <w:qFormat/>
    <w:uiPriority w:val="0"/>
    <w:rPr>
      <w:rFonts w:ascii="Times New Roman" w:hAnsi="Times New Roman" w:eastAsia="宋体" w:cs="Times New Roman"/>
      <w:szCs w:val="20"/>
    </w:rPr>
  </w:style>
  <w:style w:type="character" w:customStyle="1" w:styleId="89">
    <w:name w:val="正文文本 3 Char"/>
    <w:basedOn w:val="51"/>
    <w:link w:val="19"/>
    <w:autoRedefine/>
    <w:qFormat/>
    <w:uiPriority w:val="0"/>
    <w:rPr>
      <w:rFonts w:ascii="宋体" w:hAnsi="Times New Roman" w:eastAsia="宋体" w:cs="Times New Roman"/>
      <w:sz w:val="24"/>
      <w:szCs w:val="20"/>
    </w:rPr>
  </w:style>
  <w:style w:type="character" w:customStyle="1" w:styleId="90">
    <w:name w:val="正文文本缩进 Char"/>
    <w:basedOn w:val="51"/>
    <w:link w:val="2"/>
    <w:autoRedefine/>
    <w:qFormat/>
    <w:uiPriority w:val="0"/>
    <w:rPr>
      <w:rFonts w:ascii="宋体" w:hAnsi="Times New Roman" w:eastAsia="宋体" w:cs="Times New Roman"/>
      <w:sz w:val="24"/>
      <w:szCs w:val="20"/>
    </w:rPr>
  </w:style>
  <w:style w:type="character" w:customStyle="1" w:styleId="91">
    <w:name w:val="日期 Char"/>
    <w:basedOn w:val="51"/>
    <w:link w:val="27"/>
    <w:autoRedefine/>
    <w:qFormat/>
    <w:uiPriority w:val="0"/>
    <w:rPr>
      <w:rFonts w:ascii="Times New Roman" w:hAnsi="Times New Roman" w:eastAsia="宋体" w:cs="Times New Roman"/>
    </w:rPr>
  </w:style>
  <w:style w:type="character" w:customStyle="1" w:styleId="92">
    <w:name w:val="批注框文本 Char"/>
    <w:basedOn w:val="51"/>
    <w:link w:val="29"/>
    <w:autoRedefine/>
    <w:qFormat/>
    <w:uiPriority w:val="0"/>
    <w:rPr>
      <w:rFonts w:ascii="Times New Roman" w:hAnsi="Times New Roman" w:eastAsia="宋体" w:cs="Times New Roman"/>
      <w:sz w:val="18"/>
      <w:szCs w:val="18"/>
    </w:rPr>
  </w:style>
  <w:style w:type="character" w:customStyle="1" w:styleId="93">
    <w:name w:val="副标题 Char"/>
    <w:basedOn w:val="51"/>
    <w:link w:val="34"/>
    <w:autoRedefine/>
    <w:qFormat/>
    <w:uiPriority w:val="0"/>
    <w:rPr>
      <w:rFonts w:ascii="Cambria" w:hAnsi="Cambria" w:eastAsia="宋体" w:cs="Times New Roman"/>
      <w:b/>
      <w:bCs/>
      <w:kern w:val="28"/>
      <w:sz w:val="32"/>
      <w:szCs w:val="32"/>
    </w:rPr>
  </w:style>
  <w:style w:type="character" w:customStyle="1" w:styleId="94">
    <w:name w:val="脚注文本 Char"/>
    <w:basedOn w:val="51"/>
    <w:link w:val="36"/>
    <w:autoRedefine/>
    <w:qFormat/>
    <w:uiPriority w:val="0"/>
    <w:rPr>
      <w:rFonts w:ascii="Times New Roman" w:hAnsi="Times New Roman" w:eastAsia="宋体" w:cs="Times New Roman"/>
      <w:sz w:val="20"/>
      <w:szCs w:val="20"/>
    </w:rPr>
  </w:style>
  <w:style w:type="character" w:customStyle="1" w:styleId="95">
    <w:name w:val="正文文本缩进 3 Char"/>
    <w:basedOn w:val="51"/>
    <w:link w:val="38"/>
    <w:autoRedefine/>
    <w:qFormat/>
    <w:uiPriority w:val="0"/>
    <w:rPr>
      <w:rFonts w:ascii="Times New Roman" w:hAnsi="Times New Roman" w:eastAsia="宋体" w:cs="Times New Roman"/>
      <w:sz w:val="16"/>
      <w:szCs w:val="16"/>
    </w:rPr>
  </w:style>
  <w:style w:type="character" w:customStyle="1" w:styleId="96">
    <w:name w:val="正文文本 2 Char"/>
    <w:basedOn w:val="51"/>
    <w:link w:val="42"/>
    <w:autoRedefine/>
    <w:qFormat/>
    <w:uiPriority w:val="0"/>
    <w:rPr>
      <w:rFonts w:ascii="宋体" w:hAnsi="宋体" w:eastAsia="宋体" w:cs="Times New Roman"/>
      <w:color w:val="000000"/>
      <w:sz w:val="24"/>
    </w:rPr>
  </w:style>
  <w:style w:type="character" w:customStyle="1" w:styleId="97">
    <w:name w:val="标题 Char"/>
    <w:basedOn w:val="51"/>
    <w:link w:val="45"/>
    <w:autoRedefine/>
    <w:qFormat/>
    <w:uiPriority w:val="0"/>
    <w:rPr>
      <w:rFonts w:ascii="Arial" w:hAnsi="Arial" w:eastAsia="宋体" w:cs="Times New Roman"/>
      <w:b/>
      <w:kern w:val="0"/>
      <w:sz w:val="32"/>
      <w:szCs w:val="20"/>
    </w:rPr>
  </w:style>
  <w:style w:type="character" w:customStyle="1" w:styleId="98">
    <w:name w:val="批注主题 Char"/>
    <w:basedOn w:val="88"/>
    <w:link w:val="46"/>
    <w:autoRedefine/>
    <w:qFormat/>
    <w:uiPriority w:val="0"/>
    <w:rPr>
      <w:rFonts w:ascii="Times New Roman" w:hAnsi="Times New Roman" w:eastAsia="宋体" w:cs="Times New Roman"/>
      <w:b/>
      <w:bCs/>
      <w:szCs w:val="20"/>
    </w:rPr>
  </w:style>
  <w:style w:type="character" w:customStyle="1" w:styleId="99">
    <w:name w:val="正文首行缩进 2 Char"/>
    <w:basedOn w:val="90"/>
    <w:link w:val="48"/>
    <w:autoRedefine/>
    <w:qFormat/>
    <w:uiPriority w:val="0"/>
    <w:rPr>
      <w:rFonts w:ascii="Times New Roman" w:hAnsi="Times New Roman" w:eastAsia="宋体" w:cs="Times New Roman"/>
      <w:spacing w:val="-4"/>
      <w:sz w:val="18"/>
      <w:szCs w:val="20"/>
      <w:lang w:val="zh-CN"/>
    </w:rPr>
  </w:style>
  <w:style w:type="character" w:customStyle="1" w:styleId="100">
    <w:name w:val="标题 1 Char_1"/>
    <w:link w:val="101"/>
    <w:autoRedefine/>
    <w:qFormat/>
    <w:uiPriority w:val="0"/>
    <w:rPr>
      <w:b/>
      <w:bCs/>
      <w:kern w:val="44"/>
      <w:sz w:val="44"/>
      <w:szCs w:val="44"/>
    </w:rPr>
  </w:style>
  <w:style w:type="paragraph" w:customStyle="1" w:styleId="101">
    <w:name w:val="标题 1_1_0"/>
    <w:basedOn w:val="1"/>
    <w:next w:val="1"/>
    <w:link w:val="100"/>
    <w:autoRedefine/>
    <w:qFormat/>
    <w:uiPriority w:val="0"/>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customStyle="1" w:styleId="102">
    <w:name w:val="不明显参考1"/>
    <w:autoRedefine/>
    <w:qFormat/>
    <w:uiPriority w:val="0"/>
    <w:rPr>
      <w:rFonts w:ascii="Times New Roman" w:hAnsi="Times New Roman" w:eastAsia="宋体" w:cs="Times New Roman"/>
      <w:smallCaps/>
      <w:color w:val="C0504D"/>
      <w:u w:val="single"/>
    </w:rPr>
  </w:style>
  <w:style w:type="character" w:customStyle="1" w:styleId="103">
    <w:name w:val="页脚 Char"/>
    <w:autoRedefine/>
    <w:qFormat/>
    <w:uiPriority w:val="0"/>
    <w:rPr>
      <w:rFonts w:ascii="Times New Roman" w:hAnsi="Times New Roman" w:eastAsia="宋体" w:cs="Times New Roman"/>
      <w:kern w:val="2"/>
      <w:sz w:val="18"/>
    </w:rPr>
  </w:style>
  <w:style w:type="character" w:customStyle="1" w:styleId="104">
    <w:name w:val="正文文本 (3) + 10 pt"/>
    <w:autoRedefine/>
    <w:qFormat/>
    <w:uiPriority w:val="0"/>
    <w:rPr>
      <w:rFonts w:ascii="Times New Roman" w:hAnsi="Times New Roman" w:eastAsia="宋体" w:cs="Times New Roman"/>
      <w:sz w:val="20"/>
      <w:szCs w:val="20"/>
      <w:shd w:val="clear" w:color="auto" w:fill="FFFFFF"/>
      <w:lang w:val="en-US" w:eastAsia="zh-CN"/>
    </w:rPr>
  </w:style>
  <w:style w:type="character" w:customStyle="1" w:styleId="105">
    <w:name w:val="正文文本 (2) + 9 pt"/>
    <w:autoRedefine/>
    <w:qFormat/>
    <w:uiPriority w:val="0"/>
    <w:rPr>
      <w:rFonts w:ascii="Times New Roman" w:hAnsi="Times New Roman" w:eastAsia="宋体" w:cs="Times New Roman"/>
      <w:b/>
      <w:bCs/>
      <w:spacing w:val="20"/>
      <w:sz w:val="18"/>
      <w:szCs w:val="18"/>
      <w:shd w:val="clear" w:color="auto" w:fill="FFFFFF"/>
      <w:lang w:val="en-US" w:eastAsia="en-US"/>
    </w:rPr>
  </w:style>
  <w:style w:type="character" w:customStyle="1" w:styleId="106">
    <w:name w:val="正文文本 (4) + 5.5 pt"/>
    <w:autoRedefine/>
    <w:qFormat/>
    <w:uiPriority w:val="0"/>
    <w:rPr>
      <w:rFonts w:ascii="Times New Roman" w:hAnsi="Times New Roman" w:eastAsia="宋体" w:cs="Times New Roman"/>
      <w:b/>
      <w:bCs/>
      <w:spacing w:val="0"/>
      <w:sz w:val="11"/>
      <w:szCs w:val="11"/>
      <w:shd w:val="clear" w:color="auto" w:fill="FFFFFF"/>
      <w:lang w:val="en-US" w:eastAsia="en-US"/>
    </w:rPr>
  </w:style>
  <w:style w:type="character" w:customStyle="1" w:styleId="107">
    <w:name w:val="Char Char14"/>
    <w:autoRedefine/>
    <w:qFormat/>
    <w:uiPriority w:val="0"/>
    <w:rPr>
      <w:rFonts w:ascii="宋体" w:hAnsi="Courier New" w:eastAsia="楷体_GB2312" w:cs="Times New Roman"/>
      <w:kern w:val="2"/>
      <w:sz w:val="28"/>
      <w:lang w:val="en-US" w:eastAsia="zh-CN" w:bidi="ar-SA"/>
    </w:rPr>
  </w:style>
  <w:style w:type="character" w:customStyle="1" w:styleId="108">
    <w:name w:val="明显强调1"/>
    <w:autoRedefine/>
    <w:qFormat/>
    <w:uiPriority w:val="0"/>
    <w:rPr>
      <w:rFonts w:ascii="Times New Roman" w:hAnsi="Times New Roman" w:eastAsia="宋体" w:cs="Times New Roman"/>
      <w:b/>
      <w:bCs/>
      <w:i/>
      <w:iCs/>
      <w:color w:val="4F81BD"/>
    </w:rPr>
  </w:style>
  <w:style w:type="character" w:customStyle="1" w:styleId="109">
    <w:name w:val="正文文本 (2) + 9 pt1"/>
    <w:autoRedefine/>
    <w:qFormat/>
    <w:uiPriority w:val="0"/>
    <w:rPr>
      <w:rFonts w:ascii="Times New Roman" w:hAnsi="Times New Roman" w:eastAsia="宋体" w:cs="Times New Roman"/>
      <w:b/>
      <w:bCs/>
      <w:spacing w:val="-20"/>
      <w:sz w:val="18"/>
      <w:szCs w:val="18"/>
      <w:u w:val="none"/>
      <w:shd w:val="clear" w:color="auto" w:fill="FFFFFF"/>
      <w:lang w:val="en-US" w:eastAsia="en-US"/>
    </w:rPr>
  </w:style>
  <w:style w:type="character" w:customStyle="1" w:styleId="110">
    <w:name w:val="Char Char"/>
    <w:autoRedefine/>
    <w:qFormat/>
    <w:uiPriority w:val="0"/>
    <w:rPr>
      <w:rFonts w:ascii="Arial" w:hAnsi="Arial" w:eastAsia="黑体" w:cs="Times New Roman"/>
      <w:b/>
      <w:bCs/>
      <w:kern w:val="2"/>
      <w:sz w:val="32"/>
      <w:szCs w:val="32"/>
      <w:lang w:val="en-US" w:eastAsia="zh-CN" w:bidi="ar-SA"/>
    </w:rPr>
  </w:style>
  <w:style w:type="character" w:customStyle="1" w:styleId="111">
    <w:name w:val="正文文本 (4)_"/>
    <w:link w:val="112"/>
    <w:autoRedefine/>
    <w:qFormat/>
    <w:uiPriority w:val="0"/>
    <w:rPr>
      <w:b/>
      <w:bCs/>
      <w:spacing w:val="20"/>
      <w:sz w:val="18"/>
      <w:szCs w:val="18"/>
      <w:shd w:val="clear" w:color="auto" w:fill="FFFFFF"/>
      <w:lang w:eastAsia="en-US"/>
    </w:rPr>
  </w:style>
  <w:style w:type="paragraph" w:customStyle="1" w:styleId="112">
    <w:name w:val="正文文本 (4)"/>
    <w:basedOn w:val="1"/>
    <w:link w:val="111"/>
    <w:autoRedefine/>
    <w:qFormat/>
    <w:uiPriority w:val="0"/>
    <w:pPr>
      <w:shd w:val="clear" w:color="auto" w:fill="FFFFFF"/>
      <w:spacing w:line="240" w:lineRule="atLeast"/>
      <w:jc w:val="center"/>
    </w:pPr>
    <w:rPr>
      <w:rFonts w:asciiTheme="minorHAnsi" w:hAnsiTheme="minorHAnsi" w:eastAsiaTheme="minorEastAsia" w:cstheme="minorBidi"/>
      <w:b/>
      <w:bCs/>
      <w:spacing w:val="20"/>
      <w:sz w:val="18"/>
      <w:szCs w:val="18"/>
      <w:lang w:eastAsia="en-US"/>
    </w:rPr>
  </w:style>
  <w:style w:type="character" w:customStyle="1" w:styleId="113">
    <w:name w:val="无间隔 Char"/>
    <w:link w:val="114"/>
    <w:autoRedefine/>
    <w:qFormat/>
    <w:uiPriority w:val="0"/>
  </w:style>
  <w:style w:type="paragraph" w:styleId="114">
    <w:name w:val="No Spacing"/>
    <w:link w:val="1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customStyle="1" w:styleId="115">
    <w:name w:val="样式 Char"/>
    <w:link w:val="116"/>
    <w:autoRedefine/>
    <w:qFormat/>
    <w:uiPriority w:val="0"/>
    <w:rPr>
      <w:rFonts w:ascii="宋体" w:hAnsi="宋体" w:cs="宋体"/>
      <w:sz w:val="24"/>
    </w:rPr>
  </w:style>
  <w:style w:type="paragraph" w:customStyle="1" w:styleId="116">
    <w:name w:val="样式"/>
    <w:link w:val="115"/>
    <w:autoRedefine/>
    <w:qFormat/>
    <w:uiPriority w:val="0"/>
    <w:pPr>
      <w:widowControl w:val="0"/>
      <w:autoSpaceDE w:val="0"/>
      <w:autoSpaceDN w:val="0"/>
      <w:adjustRightInd w:val="0"/>
    </w:pPr>
    <w:rPr>
      <w:rFonts w:ascii="宋体" w:hAnsi="宋体" w:cs="宋体" w:eastAsiaTheme="minorEastAsia"/>
      <w:kern w:val="2"/>
      <w:sz w:val="24"/>
      <w:szCs w:val="24"/>
      <w:lang w:val="en-US" w:eastAsia="zh-CN" w:bidi="ar-SA"/>
    </w:rPr>
  </w:style>
  <w:style w:type="character" w:customStyle="1" w:styleId="117">
    <w:name w:val="font161"/>
    <w:autoRedefine/>
    <w:qFormat/>
    <w:uiPriority w:val="0"/>
    <w:rPr>
      <w:rFonts w:ascii="Times New Roman" w:hAnsi="Times New Roman" w:eastAsia="宋体" w:cs="Times New Roman"/>
      <w:b/>
      <w:bCs/>
      <w:sz w:val="32"/>
      <w:szCs w:val="32"/>
    </w:rPr>
  </w:style>
  <w:style w:type="character" w:customStyle="1" w:styleId="118">
    <w:name w:val="不明显强调1"/>
    <w:autoRedefine/>
    <w:qFormat/>
    <w:uiPriority w:val="0"/>
    <w:rPr>
      <w:rFonts w:ascii="Times New Roman" w:hAnsi="Times New Roman" w:eastAsia="宋体" w:cs="Times New Roman"/>
      <w:i/>
      <w:iCs/>
      <w:color w:val="808080"/>
    </w:rPr>
  </w:style>
  <w:style w:type="character" w:customStyle="1" w:styleId="119">
    <w:name w:val="标题 4 Char"/>
    <w:autoRedefine/>
    <w:qFormat/>
    <w:uiPriority w:val="0"/>
    <w:rPr>
      <w:rFonts w:ascii="Arial" w:hAnsi="Arial" w:eastAsia="黑体" w:cs="Times New Roman"/>
      <w:b/>
      <w:bCs/>
      <w:kern w:val="2"/>
      <w:sz w:val="28"/>
      <w:szCs w:val="28"/>
    </w:rPr>
  </w:style>
  <w:style w:type="character" w:customStyle="1" w:styleId="120">
    <w:name w:val="正文文本 (2)_"/>
    <w:link w:val="121"/>
    <w:autoRedefine/>
    <w:qFormat/>
    <w:uiPriority w:val="0"/>
    <w:rPr>
      <w:sz w:val="11"/>
      <w:szCs w:val="11"/>
      <w:shd w:val="clear" w:color="auto" w:fill="FFFFFF"/>
    </w:rPr>
  </w:style>
  <w:style w:type="paragraph" w:customStyle="1" w:styleId="121">
    <w:name w:val="正文文本 (2)"/>
    <w:basedOn w:val="1"/>
    <w:link w:val="120"/>
    <w:autoRedefine/>
    <w:qFormat/>
    <w:uiPriority w:val="0"/>
    <w:pPr>
      <w:shd w:val="clear" w:color="auto" w:fill="FFFFFF"/>
      <w:spacing w:line="308" w:lineRule="exact"/>
      <w:jc w:val="center"/>
    </w:pPr>
    <w:rPr>
      <w:rFonts w:asciiTheme="minorHAnsi" w:hAnsiTheme="minorHAnsi" w:eastAsiaTheme="minorEastAsia" w:cstheme="minorBidi"/>
      <w:sz w:val="11"/>
      <w:szCs w:val="11"/>
    </w:rPr>
  </w:style>
  <w:style w:type="character" w:customStyle="1" w:styleId="122">
    <w:name w:val="明显参考1"/>
    <w:autoRedefine/>
    <w:qFormat/>
    <w:uiPriority w:val="0"/>
    <w:rPr>
      <w:rFonts w:ascii="Times New Roman" w:hAnsi="Times New Roman" w:eastAsia="宋体" w:cs="Times New Roman"/>
      <w:b/>
      <w:bCs/>
      <w:smallCaps/>
      <w:color w:val="C0504D"/>
      <w:spacing w:val="5"/>
      <w:u w:val="single"/>
    </w:rPr>
  </w:style>
  <w:style w:type="character" w:customStyle="1" w:styleId="123">
    <w:name w:val="Char Char8"/>
    <w:autoRedefine/>
    <w:qFormat/>
    <w:uiPriority w:val="0"/>
    <w:rPr>
      <w:rFonts w:ascii="Arial" w:hAnsi="Arial" w:eastAsia="黑体" w:cs="Times New Roman"/>
      <w:b/>
      <w:bCs/>
      <w:kern w:val="2"/>
      <w:sz w:val="32"/>
      <w:szCs w:val="32"/>
      <w:lang w:val="en-US" w:eastAsia="zh-CN" w:bidi="ar-SA"/>
    </w:rPr>
  </w:style>
  <w:style w:type="character" w:customStyle="1" w:styleId="124">
    <w:name w:val="标题 3 Char"/>
    <w:autoRedefine/>
    <w:qFormat/>
    <w:uiPriority w:val="0"/>
    <w:rPr>
      <w:rFonts w:ascii="黑体" w:hAnsi="宋体" w:eastAsia="黑体" w:cs="Times New Roman"/>
      <w:bCs/>
      <w:kern w:val="2"/>
      <w:sz w:val="28"/>
      <w:szCs w:val="28"/>
    </w:rPr>
  </w:style>
  <w:style w:type="character" w:customStyle="1" w:styleId="125">
    <w:name w:val="批注文字 Char"/>
    <w:autoRedefine/>
    <w:qFormat/>
    <w:uiPriority w:val="0"/>
    <w:rPr>
      <w:rFonts w:ascii="Times New Roman" w:hAnsi="Times New Roman" w:eastAsia="宋体" w:cs="Times New Roman"/>
      <w:kern w:val="2"/>
      <w:sz w:val="21"/>
      <w:szCs w:val="24"/>
      <w:lang w:val="en-US" w:eastAsia="zh-CN" w:bidi="ar-SA"/>
    </w:rPr>
  </w:style>
  <w:style w:type="character" w:customStyle="1" w:styleId="126">
    <w:name w:val="明显引用 Char"/>
    <w:link w:val="127"/>
    <w:autoRedefine/>
    <w:qFormat/>
    <w:uiPriority w:val="0"/>
    <w:rPr>
      <w:b/>
      <w:bCs/>
      <w:i/>
      <w:iCs/>
      <w:color w:val="4F81BD"/>
    </w:rPr>
  </w:style>
  <w:style w:type="paragraph" w:styleId="127">
    <w:name w:val="Intense Quote"/>
    <w:basedOn w:val="1"/>
    <w:next w:val="1"/>
    <w:link w:val="126"/>
    <w:autoRedefine/>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128">
    <w:name w:val="明显引用 字符1"/>
    <w:basedOn w:val="51"/>
    <w:autoRedefine/>
    <w:qFormat/>
    <w:uiPriority w:val="30"/>
    <w:rPr>
      <w:rFonts w:ascii="Times New Roman" w:hAnsi="Times New Roman" w:eastAsia="宋体" w:cs="Times New Roman"/>
      <w:i/>
      <w:iCs/>
      <w:color w:val="4472C4" w:themeColor="accent1"/>
      <w14:textFill>
        <w14:solidFill>
          <w14:schemeClr w14:val="accent1"/>
        </w14:solidFill>
      </w14:textFill>
    </w:rPr>
  </w:style>
  <w:style w:type="character" w:customStyle="1" w:styleId="129">
    <w:name w:val="ca-3"/>
    <w:autoRedefine/>
    <w:qFormat/>
    <w:uiPriority w:val="0"/>
    <w:rPr>
      <w:rFonts w:ascii="Times New Roman" w:hAnsi="Times New Roman" w:eastAsia="宋体" w:cs="Times New Roman"/>
    </w:rPr>
  </w:style>
  <w:style w:type="character" w:customStyle="1" w:styleId="130">
    <w:name w:val="正文文本 (3) + 9 pt"/>
    <w:autoRedefine/>
    <w:qFormat/>
    <w:uiPriority w:val="0"/>
    <w:rPr>
      <w:rFonts w:ascii="Times New Roman" w:hAnsi="Times New Roman" w:eastAsia="宋体" w:cs="Times New Roman"/>
      <w:b/>
      <w:bCs/>
      <w:spacing w:val="20"/>
      <w:sz w:val="18"/>
      <w:szCs w:val="18"/>
      <w:shd w:val="clear" w:color="auto" w:fill="FFFFFF"/>
      <w:lang w:val="en-US" w:eastAsia="en-US"/>
    </w:rPr>
  </w:style>
  <w:style w:type="character" w:customStyle="1" w:styleId="131">
    <w:name w:val="Char Char7"/>
    <w:autoRedefine/>
    <w:qFormat/>
    <w:uiPriority w:val="0"/>
    <w:rPr>
      <w:rFonts w:ascii="Arial" w:hAnsi="Arial" w:eastAsia="黑体" w:cs="Times New Roman"/>
      <w:b/>
      <w:bCs/>
      <w:kern w:val="2"/>
      <w:sz w:val="32"/>
      <w:szCs w:val="32"/>
      <w:lang w:val="en-US" w:eastAsia="zh-CN" w:bidi="ar-SA"/>
    </w:rPr>
  </w:style>
  <w:style w:type="character" w:customStyle="1" w:styleId="132">
    <w:name w:val="正文文本 (3)_"/>
    <w:link w:val="133"/>
    <w:autoRedefine/>
    <w:qFormat/>
    <w:uiPriority w:val="0"/>
    <w:rPr>
      <w:sz w:val="11"/>
      <w:szCs w:val="11"/>
      <w:shd w:val="clear" w:color="auto" w:fill="FFFFFF"/>
    </w:rPr>
  </w:style>
  <w:style w:type="paragraph" w:customStyle="1" w:styleId="133">
    <w:name w:val="正文文本 (3)"/>
    <w:basedOn w:val="1"/>
    <w:link w:val="132"/>
    <w:autoRedefine/>
    <w:qFormat/>
    <w:uiPriority w:val="0"/>
    <w:pPr>
      <w:shd w:val="clear" w:color="auto" w:fill="FFFFFF"/>
      <w:spacing w:line="240" w:lineRule="atLeast"/>
    </w:pPr>
    <w:rPr>
      <w:rFonts w:asciiTheme="minorHAnsi" w:hAnsiTheme="minorHAnsi" w:eastAsiaTheme="minorEastAsia" w:cstheme="minorBidi"/>
      <w:sz w:val="11"/>
      <w:szCs w:val="11"/>
    </w:rPr>
  </w:style>
  <w:style w:type="character" w:customStyle="1" w:styleId="134">
    <w:name w:val="Char Char2"/>
    <w:autoRedefine/>
    <w:qFormat/>
    <w:uiPriority w:val="0"/>
    <w:rPr>
      <w:rFonts w:ascii="Times New Roman" w:hAnsi="Times New Roman" w:eastAsia="宋体" w:cs="Times New Roman"/>
      <w:kern w:val="2"/>
      <w:sz w:val="21"/>
      <w:szCs w:val="24"/>
      <w:lang w:val="en-US" w:eastAsia="zh-CN" w:bidi="ar-SA"/>
    </w:rPr>
  </w:style>
  <w:style w:type="character" w:customStyle="1" w:styleId="135">
    <w:name w:val="引用 Char"/>
    <w:link w:val="136"/>
    <w:autoRedefine/>
    <w:qFormat/>
    <w:uiPriority w:val="0"/>
    <w:rPr>
      <w:i/>
      <w:iCs/>
      <w:color w:val="000000"/>
    </w:rPr>
  </w:style>
  <w:style w:type="paragraph" w:styleId="136">
    <w:name w:val="Quote"/>
    <w:basedOn w:val="1"/>
    <w:next w:val="1"/>
    <w:link w:val="135"/>
    <w:autoRedefine/>
    <w:qFormat/>
    <w:uiPriority w:val="0"/>
    <w:rPr>
      <w:rFonts w:asciiTheme="minorHAnsi" w:hAnsiTheme="minorHAnsi" w:eastAsiaTheme="minorEastAsia" w:cstheme="minorBidi"/>
      <w:i/>
      <w:iCs/>
      <w:color w:val="000000"/>
    </w:rPr>
  </w:style>
  <w:style w:type="character" w:customStyle="1" w:styleId="137">
    <w:name w:val="引用 字符1"/>
    <w:basedOn w:val="51"/>
    <w:autoRedefine/>
    <w:qFormat/>
    <w:uiPriority w:val="29"/>
    <w:rPr>
      <w:rFonts w:ascii="Times New Roman" w:hAnsi="Times New Roman" w:eastAsia="宋体" w:cs="Times New Roman"/>
      <w:i/>
      <w:iCs/>
      <w:color w:val="404040" w:themeColor="text1" w:themeTint="BF"/>
      <w14:textFill>
        <w14:solidFill>
          <w14:schemeClr w14:val="tx1">
            <w14:lumMod w14:val="75000"/>
            <w14:lumOff w14:val="25000"/>
          </w14:schemeClr>
        </w14:solidFill>
      </w14:textFill>
    </w:rPr>
  </w:style>
  <w:style w:type="character" w:customStyle="1" w:styleId="138">
    <w:name w:val="书籍标题1"/>
    <w:autoRedefine/>
    <w:qFormat/>
    <w:uiPriority w:val="0"/>
    <w:rPr>
      <w:rFonts w:ascii="Times New Roman" w:hAnsi="Times New Roman" w:eastAsia="宋体" w:cs="Times New Roman"/>
      <w:b/>
      <w:bCs/>
      <w:smallCaps/>
      <w:spacing w:val="5"/>
    </w:rPr>
  </w:style>
  <w:style w:type="character" w:customStyle="1" w:styleId="139">
    <w:name w:val="页眉 Char"/>
    <w:autoRedefine/>
    <w:qFormat/>
    <w:uiPriority w:val="0"/>
    <w:rPr>
      <w:rFonts w:ascii="Times New Roman" w:hAnsi="Times New Roman" w:eastAsia="宋体" w:cs="Times New Roman"/>
      <w:kern w:val="2"/>
      <w:sz w:val="18"/>
    </w:rPr>
  </w:style>
  <w:style w:type="paragraph" w:customStyle="1" w:styleId="140">
    <w:name w:val="Char"/>
    <w:basedOn w:val="1"/>
    <w:autoRedefine/>
    <w:qFormat/>
    <w:uiPriority w:val="0"/>
    <w:pPr>
      <w:tabs>
        <w:tab w:val="left" w:pos="360"/>
      </w:tabs>
    </w:pPr>
    <w:rPr>
      <w:sz w:val="24"/>
    </w:rPr>
  </w:style>
  <w:style w:type="paragraph" w:customStyle="1" w:styleId="141">
    <w:name w:val="注"/>
    <w:basedOn w:val="1"/>
    <w:autoRedefine/>
    <w:qFormat/>
    <w:uiPriority w:val="0"/>
    <w:pPr>
      <w:adjustRightInd w:val="0"/>
      <w:spacing w:line="360" w:lineRule="atLeast"/>
      <w:ind w:left="840" w:hanging="420"/>
      <w:textAlignment w:val="baseline"/>
    </w:pPr>
    <w:rPr>
      <w:kern w:val="0"/>
      <w:szCs w:val="20"/>
    </w:rPr>
  </w:style>
  <w:style w:type="paragraph" w:customStyle="1" w:styleId="142">
    <w:name w:val="Char Char Char Char"/>
    <w:basedOn w:val="1"/>
    <w:autoRedefine/>
    <w:qFormat/>
    <w:uiPriority w:val="0"/>
    <w:rPr>
      <w:rFonts w:ascii="Tahoma" w:hAnsi="Tahoma" w:cs="仿宋_GB2312"/>
      <w:sz w:val="24"/>
      <w:szCs w:val="28"/>
    </w:rPr>
  </w:style>
  <w:style w:type="paragraph" w:customStyle="1" w:styleId="143">
    <w:name w:val="Char1"/>
    <w:basedOn w:val="1"/>
    <w:autoRedefine/>
    <w:qFormat/>
    <w:uiPriority w:val="0"/>
  </w:style>
  <w:style w:type="paragraph" w:customStyle="1" w:styleId="144">
    <w:name w:val="正文文本缩进1"/>
    <w:basedOn w:val="1"/>
    <w:autoRedefine/>
    <w:qFormat/>
    <w:uiPriority w:val="0"/>
    <w:rPr>
      <w:rFonts w:ascii="宋体"/>
      <w:sz w:val="24"/>
    </w:rPr>
  </w:style>
  <w:style w:type="paragraph" w:customStyle="1" w:styleId="145">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6">
    <w:name w:val="样式2"/>
    <w:basedOn w:val="6"/>
    <w:autoRedefine/>
    <w:qFormat/>
    <w:uiPriority w:val="0"/>
    <w:rPr>
      <w:rFonts w:hAnsi="Times New Roman" w:eastAsia="宋体"/>
    </w:rPr>
  </w:style>
  <w:style w:type="paragraph" w:customStyle="1" w:styleId="147">
    <w:name w:val="纯文本1"/>
    <w:basedOn w:val="1"/>
    <w:autoRedefine/>
    <w:qFormat/>
    <w:uiPriority w:val="0"/>
    <w:pPr>
      <w:adjustRightInd w:val="0"/>
      <w:textAlignment w:val="baseline"/>
    </w:pPr>
    <w:rPr>
      <w:rFonts w:ascii="宋体" w:hAnsi="Courier New" w:eastAsia="楷体_GB2312"/>
      <w:sz w:val="26"/>
    </w:rPr>
  </w:style>
  <w:style w:type="paragraph" w:customStyle="1" w:styleId="148">
    <w:name w:val="表格"/>
    <w:basedOn w:val="1"/>
    <w:autoRedefine/>
    <w:qFormat/>
    <w:uiPriority w:val="0"/>
    <w:pPr>
      <w:jc w:val="center"/>
      <w:textAlignment w:val="center"/>
    </w:pPr>
    <w:rPr>
      <w:rFonts w:ascii="华文细黑" w:hAnsi="华文细黑"/>
      <w:kern w:val="0"/>
    </w:rPr>
  </w:style>
  <w:style w:type="paragraph" w:customStyle="1" w:styleId="149">
    <w:name w:val="样式3"/>
    <w:basedOn w:val="6"/>
    <w:autoRedefine/>
    <w:qFormat/>
    <w:uiPriority w:val="0"/>
    <w:rPr>
      <w:rFonts w:hAnsi="Times New Roman" w:eastAsia="Arial"/>
    </w:rPr>
  </w:style>
  <w:style w:type="paragraph" w:customStyle="1" w:styleId="150">
    <w:name w:val="1"/>
    <w:basedOn w:val="1"/>
    <w:next w:val="1"/>
    <w:autoRedefine/>
    <w:qFormat/>
    <w:uiPriority w:val="0"/>
  </w:style>
  <w:style w:type="paragraph" w:customStyle="1" w:styleId="151">
    <w:name w:val="TOC 标题1"/>
    <w:basedOn w:val="4"/>
    <w:next w:val="1"/>
    <w:autoRedefine/>
    <w:qFormat/>
    <w:uiPriority w:val="0"/>
    <w:pPr>
      <w:spacing w:line="578" w:lineRule="auto"/>
      <w:outlineLvl w:val="9"/>
    </w:pPr>
  </w:style>
  <w:style w:type="paragraph" w:customStyle="1" w:styleId="152">
    <w:name w:val="样式4"/>
    <w:basedOn w:val="6"/>
    <w:autoRedefine/>
    <w:qFormat/>
    <w:uiPriority w:val="0"/>
    <w:rPr>
      <w:rFonts w:hAnsi="Times New Roman" w:eastAsia="Arial"/>
    </w:rPr>
  </w:style>
  <w:style w:type="paragraph" w:customStyle="1" w:styleId="153">
    <w:name w:val="Char Char2 Char Char"/>
    <w:basedOn w:val="17"/>
    <w:autoRedefine/>
    <w:qFormat/>
    <w:uiPriority w:val="0"/>
    <w:rPr>
      <w:rFonts w:hint="eastAsia" w:ascii="Tahoma" w:hAnsi="Tahoma"/>
      <w:sz w:val="24"/>
    </w:rPr>
  </w:style>
  <w:style w:type="paragraph" w:customStyle="1" w:styleId="154">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sz w:val="28"/>
      <w:szCs w:val="20"/>
    </w:rPr>
  </w:style>
  <w:style w:type="paragraph" w:customStyle="1" w:styleId="156">
    <w:name w:val="pa-2"/>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57">
    <w:name w:val="列出段落1"/>
    <w:basedOn w:val="1"/>
    <w:autoRedefine/>
    <w:qFormat/>
    <w:uiPriority w:val="0"/>
    <w:rPr>
      <w:rFonts w:ascii="Calibri" w:hAnsi="Calibri"/>
      <w:szCs w:val="22"/>
    </w:rPr>
  </w:style>
  <w:style w:type="paragraph" w:customStyle="1" w:styleId="158">
    <w:name w:val="默认段落字体 Para Char Char Char Char Char Char Char Char Char1 Char Char Char Char Char Char Char"/>
    <w:basedOn w:val="17"/>
    <w:autoRedefine/>
    <w:qFormat/>
    <w:uiPriority w:val="0"/>
    <w:rPr>
      <w:rFonts w:ascii="Tahoma" w:hAnsi="Tahoma"/>
      <w:sz w:val="24"/>
    </w:rPr>
  </w:style>
  <w:style w:type="paragraph" w:customStyle="1" w:styleId="159">
    <w:name w:val="表内文字"/>
    <w:basedOn w:val="1"/>
    <w:autoRedefine/>
    <w:qFormat/>
    <w:uiPriority w:val="0"/>
    <w:pPr>
      <w:tabs>
        <w:tab w:val="left" w:pos="1418"/>
      </w:tabs>
      <w:jc w:val="center"/>
    </w:pPr>
    <w:rPr>
      <w:rFonts w:ascii="仿宋_GB2312" w:eastAsia="仿宋_GB2312"/>
      <w:spacing w:val="-20"/>
      <w:kern w:val="0"/>
      <w:sz w:val="24"/>
    </w:rPr>
  </w:style>
  <w:style w:type="paragraph" w:customStyle="1" w:styleId="160">
    <w:name w:val="p0"/>
    <w:basedOn w:val="1"/>
    <w:autoRedefine/>
    <w:qFormat/>
    <w:uiPriority w:val="0"/>
    <w:pPr>
      <w:widowControl/>
      <w:adjustRightInd w:val="0"/>
      <w:spacing w:line="360" w:lineRule="atLeast"/>
      <w:textAlignment w:val="baseline"/>
    </w:pPr>
    <w:rPr>
      <w:rFonts w:eastAsia="Times New Roman"/>
      <w:kern w:val="0"/>
    </w:rPr>
  </w:style>
  <w:style w:type="paragraph" w:customStyle="1" w:styleId="16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62">
    <w:name w:val="纯文本2"/>
    <w:basedOn w:val="1"/>
    <w:autoRedefine/>
    <w:qFormat/>
    <w:uiPriority w:val="0"/>
    <w:rPr>
      <w:rFonts w:ascii="宋体" w:hAnsi="Courier New"/>
      <w:sz w:val="28"/>
    </w:rPr>
  </w:style>
  <w:style w:type="paragraph" w:customStyle="1" w:styleId="163">
    <w:name w:val="表格文字"/>
    <w:basedOn w:val="1"/>
    <w:autoRedefine/>
    <w:qFormat/>
    <w:uiPriority w:val="0"/>
    <w:pPr>
      <w:adjustRightInd w:val="0"/>
      <w:spacing w:line="420" w:lineRule="atLeast"/>
      <w:jc w:val="left"/>
      <w:textAlignment w:val="baseline"/>
    </w:pPr>
    <w:rPr>
      <w:kern w:val="0"/>
    </w:rPr>
  </w:style>
  <w:style w:type="paragraph" w:customStyle="1" w:styleId="164">
    <w:name w:val="样式 标题 1 + 黑体 三号 非加粗 居中 段前: 6 磅 段后: 6 磅 行距: 固定值 20 磅"/>
    <w:basedOn w:val="4"/>
    <w:autoRedefine/>
    <w:qFormat/>
    <w:uiPriority w:val="0"/>
    <w:pPr>
      <w:spacing w:before="120" w:after="120" w:line="400" w:lineRule="exact"/>
    </w:pPr>
    <w:rPr>
      <w:rFonts w:ascii="黑体" w:hAnsi="黑体" w:eastAsia="黑体" w:cs="宋体"/>
      <w:b w:val="0"/>
      <w:bCs w:val="0"/>
      <w:sz w:val="32"/>
      <w:szCs w:val="20"/>
    </w:rPr>
  </w:style>
  <w:style w:type="paragraph" w:styleId="165">
    <w:name w:val="List Paragraph"/>
    <w:basedOn w:val="1"/>
    <w:autoRedefine/>
    <w:qFormat/>
    <w:uiPriority w:val="0"/>
  </w:style>
  <w:style w:type="paragraph" w:customStyle="1" w:styleId="166">
    <w:name w:val="6'"/>
    <w:basedOn w:val="1"/>
    <w:autoRedefine/>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1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标题 2 + 黑色 行距: 1.5 倍行距"/>
    <w:basedOn w:val="5"/>
    <w:autoRedefine/>
    <w:qFormat/>
    <w:uiPriority w:val="0"/>
    <w:pPr>
      <w:spacing w:line="360" w:lineRule="auto"/>
    </w:pPr>
    <w:rPr>
      <w:rFonts w:ascii="Times New Roman" w:hAnsi="Times New Roman" w:eastAsia="宋体" w:cs="宋体"/>
      <w:color w:val="000000"/>
      <w:szCs w:val="20"/>
    </w:rPr>
  </w:style>
  <w:style w:type="paragraph" w:customStyle="1" w:styleId="169">
    <w:name w:val="样式1"/>
    <w:basedOn w:val="6"/>
    <w:autoRedefine/>
    <w:qFormat/>
    <w:uiPriority w:val="0"/>
    <w:rPr>
      <w:rFonts w:hAnsi="Times New Roman" w:eastAsia="Arial"/>
    </w:rPr>
  </w:style>
  <w:style w:type="paragraph" w:customStyle="1" w:styleId="170">
    <w:name w:val="样式 标题 3 + (中文) 黑体 小四 非加粗 段前: 7.8 磅 段后: 0 磅 行距: 固定值 20 磅"/>
    <w:basedOn w:val="6"/>
    <w:autoRedefine/>
    <w:qFormat/>
    <w:uiPriority w:val="0"/>
    <w:pPr>
      <w:spacing w:before="0" w:after="0" w:line="400" w:lineRule="exact"/>
    </w:pPr>
    <w:rPr>
      <w:rFonts w:hAnsi="Times New Roman" w:cs="宋体"/>
      <w:b/>
      <w:bCs/>
    </w:rPr>
  </w:style>
  <w:style w:type="paragraph" w:customStyle="1" w:styleId="171">
    <w:name w:val="Char Char5"/>
    <w:basedOn w:val="17"/>
    <w:autoRedefine/>
    <w:qFormat/>
    <w:uiPriority w:val="0"/>
    <w:pPr>
      <w:adjustRightInd w:val="0"/>
      <w:spacing w:line="436" w:lineRule="exact"/>
      <w:ind w:left="357"/>
      <w:jc w:val="left"/>
      <w:outlineLvl w:val="3"/>
    </w:pPr>
    <w:rPr>
      <w:color w:val="000000"/>
      <w:kern w:val="0"/>
      <w:szCs w:val="20"/>
      <w:u w:color="000000"/>
    </w:rPr>
  </w:style>
  <w:style w:type="paragraph" w:customStyle="1" w:styleId="172">
    <w:name w:val="默认段落字体 Para Char Char Char Char Char Char Char Char Char1 Char Char Char Char"/>
    <w:basedOn w:val="1"/>
    <w:autoRedefine/>
    <w:qFormat/>
    <w:uiPriority w:val="0"/>
    <w:rPr>
      <w:rFonts w:ascii="Tahoma" w:hAnsi="Tahoma"/>
      <w:sz w:val="24"/>
      <w:szCs w:val="20"/>
    </w:rPr>
  </w:style>
  <w:style w:type="paragraph" w:customStyle="1" w:styleId="173">
    <w:name w:val="pa-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74">
    <w:name w:val="正文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5">
    <w:name w:val="正文2"/>
    <w:basedOn w:val="1"/>
    <w:autoRedefine/>
    <w:qFormat/>
    <w:uiPriority w:val="0"/>
    <w:pPr>
      <w:widowControl/>
      <w:jc w:val="left"/>
    </w:pPr>
    <w:rPr>
      <w:kern w:val="0"/>
      <w:sz w:val="24"/>
      <w:szCs w:val="20"/>
    </w:rPr>
  </w:style>
  <w:style w:type="paragraph" w:customStyle="1" w:styleId="176">
    <w:name w:val="Personal Name"/>
    <w:basedOn w:val="45"/>
    <w:autoRedefine/>
    <w:qFormat/>
    <w:uiPriority w:val="0"/>
    <w:rPr>
      <w:rFonts w:ascii="Impact" w:hAnsi="Impact"/>
      <w:b w:val="0"/>
      <w:caps/>
      <w:color w:val="000000"/>
      <w:sz w:val="28"/>
      <w:szCs w:val="28"/>
    </w:rPr>
  </w:style>
  <w:style w:type="paragraph" w:customStyle="1" w:styleId="177">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8">
    <w:name w:val="正文段"/>
    <w:basedOn w:val="1"/>
    <w:autoRedefine/>
    <w:qFormat/>
    <w:uiPriority w:val="0"/>
    <w:pPr>
      <w:widowControl/>
      <w:snapToGrid w:val="0"/>
      <w:spacing w:after="156" w:afterLines="50"/>
      <w:ind w:firstLine="200"/>
    </w:pPr>
    <w:rPr>
      <w:kern w:val="0"/>
      <w:sz w:val="24"/>
      <w:szCs w:val="20"/>
    </w:rPr>
  </w:style>
  <w:style w:type="character" w:customStyle="1" w:styleId="179">
    <w:name w:val="font71"/>
    <w:autoRedefine/>
    <w:qFormat/>
    <w:uiPriority w:val="0"/>
    <w:rPr>
      <w:rFonts w:hint="eastAsia" w:ascii="宋体" w:hAnsi="宋体" w:eastAsia="宋体" w:cs="宋体"/>
      <w:color w:val="000000"/>
      <w:sz w:val="24"/>
      <w:szCs w:val="24"/>
      <w:u w:val="none"/>
    </w:rPr>
  </w:style>
  <w:style w:type="character" w:customStyle="1" w:styleId="180">
    <w:name w:val="font91"/>
    <w:autoRedefine/>
    <w:qFormat/>
    <w:uiPriority w:val="0"/>
    <w:rPr>
      <w:rFonts w:hint="eastAsia" w:ascii="宋体" w:hAnsi="宋体" w:eastAsia="宋体" w:cs="宋体"/>
      <w:b/>
      <w:bCs/>
      <w:color w:val="000000"/>
      <w:sz w:val="24"/>
      <w:szCs w:val="24"/>
      <w:u w:val="none"/>
    </w:rPr>
  </w:style>
  <w:style w:type="character" w:customStyle="1" w:styleId="181">
    <w:name w:val="font51"/>
    <w:autoRedefine/>
    <w:qFormat/>
    <w:uiPriority w:val="0"/>
    <w:rPr>
      <w:rFonts w:hint="eastAsia" w:ascii="宋体" w:hAnsi="宋体" w:eastAsia="宋体" w:cs="宋体"/>
      <w:b/>
      <w:bCs/>
      <w:color w:val="000000"/>
      <w:sz w:val="20"/>
      <w:szCs w:val="20"/>
      <w:u w:val="none"/>
    </w:rPr>
  </w:style>
  <w:style w:type="character" w:customStyle="1" w:styleId="182">
    <w:name w:val="font31"/>
    <w:autoRedefine/>
    <w:qFormat/>
    <w:uiPriority w:val="0"/>
    <w:rPr>
      <w:rFonts w:hint="eastAsia" w:ascii="宋体" w:hAnsi="宋体" w:eastAsia="宋体" w:cs="宋体"/>
      <w:b/>
      <w:bCs/>
      <w:color w:val="000000"/>
      <w:sz w:val="20"/>
      <w:szCs w:val="20"/>
      <w:u w:val="none"/>
    </w:rPr>
  </w:style>
  <w:style w:type="paragraph" w:customStyle="1" w:styleId="183">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84">
    <w:name w:val="p17"/>
    <w:basedOn w:val="1"/>
    <w:autoRedefine/>
    <w:qFormat/>
    <w:uiPriority w:val="0"/>
    <w:rPr>
      <w:rFonts w:cs="黑体"/>
      <w:b/>
      <w:bCs/>
      <w:sz w:val="28"/>
      <w:szCs w:val="28"/>
    </w:rPr>
  </w:style>
  <w:style w:type="paragraph" w:customStyle="1" w:styleId="185">
    <w:name w:val="段"/>
    <w:next w:val="1"/>
    <w:autoRedefine/>
    <w:qFormat/>
    <w:uiPriority w:val="0"/>
    <w:pPr>
      <w:autoSpaceDE w:val="0"/>
      <w:autoSpaceDN w:val="0"/>
      <w:ind w:firstLine="200"/>
      <w:jc w:val="both"/>
    </w:pPr>
    <w:rPr>
      <w:rFonts w:ascii="宋体" w:hAnsi="Times New Roman" w:eastAsia="宋体" w:cs="Times New Roman"/>
      <w:sz w:val="21"/>
      <w:szCs w:val="22"/>
      <w:lang w:val="en-US" w:eastAsia="zh-CN" w:bidi="ar-SA"/>
    </w:rPr>
  </w:style>
  <w:style w:type="paragraph" w:customStyle="1" w:styleId="18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87">
    <w:name w:val="Plain Text2"/>
    <w:basedOn w:val="1"/>
    <w:autoRedefine/>
    <w:qFormat/>
    <w:uiPriority w:val="99"/>
    <w:pPr>
      <w:adjustRightInd w:val="0"/>
    </w:pPr>
    <w:rPr>
      <w:rFonts w:ascii="宋体" w:hAnsi="宋体"/>
    </w:rPr>
  </w:style>
  <w:style w:type="paragraph" w:customStyle="1" w:styleId="188">
    <w:name w:val="*正文"/>
    <w:basedOn w:val="1"/>
    <w:autoRedefine/>
    <w:qFormat/>
    <w:uiPriority w:val="0"/>
    <w:pPr>
      <w:ind w:firstLine="480"/>
    </w:pPr>
    <w:rPr>
      <w:rFonts w:ascii="宋体" w:hAnsi="宋体"/>
      <w:kern w:val="0"/>
      <w:sz w:val="24"/>
      <w:u w:color="000000"/>
    </w:rPr>
  </w:style>
  <w:style w:type="paragraph" w:customStyle="1" w:styleId="189">
    <w:name w:val="纯文本21"/>
    <w:basedOn w:val="1"/>
    <w:autoRedefine/>
    <w:qFormat/>
    <w:uiPriority w:val="0"/>
    <w:pPr>
      <w:adjustRightInd w:val="0"/>
      <w:textAlignment w:val="baseline"/>
    </w:pPr>
    <w:rPr>
      <w:rFonts w:ascii="宋体" w:hAnsi="Courier New" w:eastAsia="楷体_GB2312"/>
      <w:sz w:val="26"/>
    </w:rPr>
  </w:style>
  <w:style w:type="paragraph" w:customStyle="1" w:styleId="190">
    <w:name w:val="普通(Web)4"/>
    <w:qFormat/>
    <w:uiPriority w:val="0"/>
    <w:pPr>
      <w:spacing w:before="100" w:beforeAutospacing="1" w:after="100" w:afterAutospacing="1" w:line="375" w:lineRule="atLeast"/>
    </w:pPr>
    <w:rPr>
      <w:rFonts w:ascii="ˎ̥" w:hAnsi="ˎ̥"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13184</Words>
  <Characters>15105</Characters>
  <Lines>266</Lines>
  <Paragraphs>74</Paragraphs>
  <TotalTime>29</TotalTime>
  <ScaleCrop>false</ScaleCrop>
  <LinksUpToDate>false</LinksUpToDate>
  <CharactersWithSpaces>15315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2025-02-18T08:39:00Z</dcterms:created>
  <dc:creator>爱君 刘</dc:creator>
  <cp:lastModifiedBy>盐城市大丰区机关事务服务中心(填报)</cp:lastModifiedBy>
  <cp:lastPrinted>2025-02-27T08:16:00Z</cp:lastPrinted>
  <dcterms:modified xsi:type="dcterms:W3CDTF">2025-03-06T02:02:10Z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2DF18D32D4A04D91BE0442A7F2D10D70_13</vt:lpwstr>
  </property>
  <property fmtid="{D5CDD505-2E9C-101B-9397-08002B2CF9AE}" pid="4" name="KSOTemplateDocerSaveRecord">
    <vt:lpwstr>eyJoZGlkIjoiZGM4OGE5Y2EzNDZlMTg4YmNlNzFiZTc2NDliOWMwNTgiLCJ1c2VySWQiOiI2NjE3OTk1NjUifQ==</vt:lpwstr>
  </property>
</Properties>
</file>