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3EB48">
      <w:pPr>
        <w:pStyle w:val="19"/>
        <w:rPr>
          <w:color w:val="000000" w:themeColor="text1"/>
          <w14:textFill>
            <w14:solidFill>
              <w14:schemeClr w14:val="tx1"/>
            </w14:solidFill>
          </w14:textFill>
        </w:rPr>
      </w:pPr>
    </w:p>
    <w:p w14:paraId="1CC5DEBC">
      <w:pPr>
        <w:rPr>
          <w:color w:val="000000" w:themeColor="text1"/>
          <w14:textFill>
            <w14:solidFill>
              <w14:schemeClr w14:val="tx1"/>
            </w14:solidFill>
          </w14:textFill>
        </w:rPr>
      </w:pPr>
    </w:p>
    <w:p w14:paraId="6DFE80E6">
      <w:pPr>
        <w:rPr>
          <w:color w:val="000000" w:themeColor="text1"/>
          <w14:textFill>
            <w14:solidFill>
              <w14:schemeClr w14:val="tx1"/>
            </w14:solidFill>
          </w14:textFill>
        </w:rPr>
      </w:pPr>
    </w:p>
    <w:p w14:paraId="57A3F702">
      <w:pPr>
        <w:pStyle w:val="19"/>
        <w:rPr>
          <w:color w:val="000000" w:themeColor="text1"/>
          <w14:textFill>
            <w14:solidFill>
              <w14:schemeClr w14:val="tx1"/>
            </w14:solidFill>
          </w14:textFill>
        </w:rPr>
      </w:pPr>
    </w:p>
    <w:p w14:paraId="4847E084">
      <w:pPr>
        <w:spacing w:line="360" w:lineRule="auto"/>
        <w:jc w:val="center"/>
        <w:rPr>
          <w:b/>
          <w:color w:val="000000" w:themeColor="text1"/>
          <w:sz w:val="84"/>
          <w:szCs w:val="84"/>
          <w14:textFill>
            <w14:solidFill>
              <w14:schemeClr w14:val="tx1"/>
            </w14:solidFill>
          </w14:textFill>
        </w:rPr>
      </w:pPr>
      <w:r>
        <w:rPr>
          <w:b/>
          <w:color w:val="000000" w:themeColor="text1"/>
          <w:sz w:val="84"/>
          <w:szCs w:val="84"/>
          <w14:textFill>
            <w14:solidFill>
              <w14:schemeClr w14:val="tx1"/>
            </w14:solidFill>
          </w14:textFill>
        </w:rPr>
        <w:t>招  标  文  件</w:t>
      </w:r>
    </w:p>
    <w:p w14:paraId="087D0B29">
      <w:pPr>
        <w:pStyle w:val="19"/>
        <w:rPr>
          <w:color w:val="000000" w:themeColor="text1"/>
          <w:sz w:val="36"/>
          <w:szCs w:val="36"/>
          <w14:textFill>
            <w14:solidFill>
              <w14:schemeClr w14:val="tx1"/>
            </w14:solidFill>
          </w14:textFill>
        </w:rPr>
      </w:pPr>
    </w:p>
    <w:p w14:paraId="4021EA41">
      <w:pPr>
        <w:rPr>
          <w:color w:val="000000" w:themeColor="text1"/>
          <w14:textFill>
            <w14:solidFill>
              <w14:schemeClr w14:val="tx1"/>
            </w14:solidFill>
          </w14:textFill>
        </w:rPr>
      </w:pPr>
    </w:p>
    <w:p w14:paraId="70248897">
      <w:pPr>
        <w:pStyle w:val="19"/>
        <w:rPr>
          <w:color w:val="000000" w:themeColor="text1"/>
          <w14:textFill>
            <w14:solidFill>
              <w14:schemeClr w14:val="tx1"/>
            </w14:solidFill>
          </w14:textFill>
        </w:rPr>
      </w:pPr>
    </w:p>
    <w:p w14:paraId="449905E9">
      <w:pPr>
        <w:rPr>
          <w:color w:val="000000" w:themeColor="text1"/>
          <w14:textFill>
            <w14:solidFill>
              <w14:schemeClr w14:val="tx1"/>
            </w14:solidFill>
          </w14:textFill>
        </w:rPr>
      </w:pPr>
    </w:p>
    <w:p w14:paraId="3D849BA1">
      <w:pPr>
        <w:pStyle w:val="19"/>
        <w:jc w:val="center"/>
        <w:rPr>
          <w:color w:val="000000" w:themeColor="text1"/>
          <w:sz w:val="32"/>
          <w:szCs w:val="32"/>
          <w14:textFill>
            <w14:solidFill>
              <w14:schemeClr w14:val="tx1"/>
            </w14:solidFill>
          </w14:textFill>
        </w:rPr>
      </w:pPr>
    </w:p>
    <w:p w14:paraId="4B5C6244">
      <w:pPr>
        <w:pStyle w:val="19"/>
        <w:spacing w:after="0" w:line="900" w:lineRule="exact"/>
        <w:jc w:val="center"/>
        <w:rPr>
          <w:rFonts w:hint="eastAsia" w:ascii="Times New Roman" w:hAnsi="Times New Roman" w:eastAsia="宋体" w:cs="Times New Roman"/>
          <w:b/>
          <w:color w:val="000000" w:themeColor="text1"/>
          <w:sz w:val="36"/>
          <w:szCs w:val="36"/>
          <w:lang w:eastAsia="zh-CN"/>
          <w14:textFill>
            <w14:solidFill>
              <w14:schemeClr w14:val="tx1"/>
            </w14:solidFill>
          </w14:textFill>
        </w:rPr>
      </w:pPr>
      <w:r>
        <w:rPr>
          <w:b/>
          <w:color w:val="000000" w:themeColor="text1"/>
          <w:sz w:val="36"/>
          <w:szCs w:val="36"/>
          <w14:textFill>
            <w14:solidFill>
              <w14:schemeClr w14:val="tx1"/>
            </w14:solidFill>
          </w14:textFill>
        </w:rPr>
        <w:t>项目名称：</w:t>
      </w:r>
      <w:r>
        <w:rPr>
          <w:rFonts w:hint="eastAsia" w:ascii="Times New Roman" w:hAnsi="Times New Roman" w:eastAsia="宋体" w:cs="Times New Roman"/>
          <w:b/>
          <w:color w:val="000000" w:themeColor="text1"/>
          <w:sz w:val="36"/>
          <w:szCs w:val="36"/>
          <w:lang w:val="en-US" w:eastAsia="zh-CN"/>
          <w14:textFill>
            <w14:solidFill>
              <w14:schemeClr w14:val="tx1"/>
            </w14:solidFill>
          </w14:textFill>
        </w:rPr>
        <w:t>大丰区农村生活污水智慧管理平台（二期）</w:t>
      </w:r>
    </w:p>
    <w:p w14:paraId="3232B7A6">
      <w:pPr>
        <w:pStyle w:val="19"/>
        <w:rPr>
          <w:color w:val="000000" w:themeColor="text1"/>
          <w14:textFill>
            <w14:solidFill>
              <w14:schemeClr w14:val="tx1"/>
            </w14:solidFill>
          </w14:textFill>
        </w:rPr>
      </w:pPr>
    </w:p>
    <w:p w14:paraId="5EBC3930">
      <w:pPr>
        <w:pStyle w:val="19"/>
        <w:rPr>
          <w:color w:val="000000" w:themeColor="text1"/>
          <w14:textFill>
            <w14:solidFill>
              <w14:schemeClr w14:val="tx1"/>
            </w14:solidFill>
          </w14:textFill>
        </w:rPr>
      </w:pPr>
    </w:p>
    <w:p w14:paraId="75EAD720">
      <w:pPr>
        <w:pStyle w:val="19"/>
        <w:ind w:firstLine="2240" w:firstLineChars="700"/>
        <w:rPr>
          <w:color w:val="000000" w:themeColor="text1"/>
          <w:sz w:val="32"/>
          <w:szCs w:val="32"/>
          <w:u w:val="single"/>
          <w14:textFill>
            <w14:solidFill>
              <w14:schemeClr w14:val="tx1"/>
            </w14:solidFill>
          </w14:textFill>
        </w:rPr>
      </w:pPr>
    </w:p>
    <w:p w14:paraId="4D4BEE05">
      <w:pPr>
        <w:spacing w:line="360" w:lineRule="auto"/>
        <w:jc w:val="center"/>
        <w:rPr>
          <w:b/>
          <w:color w:val="000000" w:themeColor="text1"/>
          <w:sz w:val="84"/>
          <w:szCs w:val="84"/>
          <w14:textFill>
            <w14:solidFill>
              <w14:schemeClr w14:val="tx1"/>
            </w14:solidFill>
          </w14:textFill>
        </w:rPr>
      </w:pPr>
    </w:p>
    <w:p w14:paraId="74F71858">
      <w:pPr>
        <w:pStyle w:val="19"/>
        <w:rPr>
          <w:color w:val="000000" w:themeColor="text1"/>
          <w14:textFill>
            <w14:solidFill>
              <w14:schemeClr w14:val="tx1"/>
            </w14:solidFill>
          </w14:textFill>
        </w:rPr>
      </w:pPr>
    </w:p>
    <w:p w14:paraId="466DE2B4">
      <w:pPr>
        <w:pStyle w:val="19"/>
        <w:rPr>
          <w:color w:val="000000" w:themeColor="text1"/>
          <w14:textFill>
            <w14:solidFill>
              <w14:schemeClr w14:val="tx1"/>
            </w14:solidFill>
          </w14:textFill>
        </w:rPr>
      </w:pPr>
    </w:p>
    <w:p w14:paraId="009EDB40">
      <w:pPr>
        <w:rPr>
          <w:color w:val="000000" w:themeColor="text1"/>
          <w14:textFill>
            <w14:solidFill>
              <w14:schemeClr w14:val="tx1"/>
            </w14:solidFill>
          </w14:textFill>
        </w:rPr>
      </w:pPr>
    </w:p>
    <w:p w14:paraId="694DE124">
      <w:pPr>
        <w:spacing w:line="1200" w:lineRule="exact"/>
        <w:rPr>
          <w:b/>
          <w:color w:val="000000" w:themeColor="text1"/>
          <w:sz w:val="32"/>
          <w:szCs w:val="32"/>
          <w:u w:val="single"/>
          <w14:textFill>
            <w14:solidFill>
              <w14:schemeClr w14:val="tx1"/>
            </w14:solidFill>
          </w14:textFill>
        </w:rPr>
      </w:pPr>
      <w:bookmarkStart w:id="0" w:name="_Toc369077541"/>
      <w:bookmarkStart w:id="1" w:name="_Toc368759509"/>
      <w:bookmarkStart w:id="2" w:name="_Toc363326675"/>
      <w:r>
        <w:rPr>
          <w:rFonts w:hint="eastAsia"/>
          <w:b/>
          <w:color w:val="000000" w:themeColor="text1"/>
          <w:sz w:val="32"/>
          <w:szCs w:val="32"/>
          <w14:textFill>
            <w14:solidFill>
              <w14:schemeClr w14:val="tx1"/>
            </w14:solidFill>
          </w14:textFill>
        </w:rPr>
        <w:t>招   标   人：</w:t>
      </w:r>
      <w:r>
        <w:rPr>
          <w:rFonts w:hint="eastAsia" w:ascii="Times New Roman" w:hAnsi="Times New Roman" w:eastAsia="宋体" w:cs="Times New Roman"/>
          <w:b/>
          <w:color w:val="000000" w:themeColor="text1"/>
          <w:sz w:val="32"/>
          <w:szCs w:val="32"/>
          <w:u w:val="single"/>
          <w:lang w:val="en-US" w:eastAsia="zh-CN"/>
          <w14:textFill>
            <w14:solidFill>
              <w14:schemeClr w14:val="tx1"/>
            </w14:solidFill>
          </w14:textFill>
        </w:rPr>
        <w:t>盐城市大丰区城镇净水有限公司</w:t>
      </w:r>
    </w:p>
    <w:p w14:paraId="6BC31970">
      <w:pPr>
        <w:spacing w:line="1200" w:lineRule="exact"/>
        <w:rPr>
          <w:b/>
          <w:color w:val="000000" w:themeColor="text1"/>
          <w:sz w:val="32"/>
          <w:szCs w:val="32"/>
          <w:u w:val="single"/>
          <w14:textFill>
            <w14:solidFill>
              <w14:schemeClr w14:val="tx1"/>
            </w14:solidFill>
          </w14:textFill>
        </w:rPr>
      </w:pPr>
      <w:r>
        <w:rPr>
          <w:rFonts w:hint="eastAsia"/>
          <w:b/>
          <w:color w:val="000000" w:themeColor="text1"/>
          <w:sz w:val="32"/>
          <w:szCs w:val="32"/>
          <w14:textFill>
            <w14:solidFill>
              <w14:schemeClr w14:val="tx1"/>
            </w14:solidFill>
          </w14:textFill>
        </w:rPr>
        <w:t>招标代理机构：</w:t>
      </w:r>
      <w:bookmarkStart w:id="3" w:name="_Toc30104"/>
      <w:r>
        <w:rPr>
          <w:rFonts w:hint="eastAsia"/>
          <w:b/>
          <w:color w:val="000000" w:themeColor="text1"/>
          <w:sz w:val="32"/>
          <w:szCs w:val="32"/>
          <w:u w:val="single"/>
          <w:lang w:eastAsia="zh-CN"/>
          <w14:textFill>
            <w14:solidFill>
              <w14:schemeClr w14:val="tx1"/>
            </w14:solidFill>
          </w14:textFill>
        </w:rPr>
        <w:t>江苏仁禾中衡工程咨询房地产估价有限公司</w:t>
      </w:r>
    </w:p>
    <w:p w14:paraId="36B3D08E">
      <w:pPr>
        <w:spacing w:line="1200" w:lineRule="exact"/>
        <w:jc w:val="center"/>
        <w:rPr>
          <w:b/>
          <w:color w:val="000000" w:themeColor="text1"/>
          <w:sz w:val="32"/>
          <w:szCs w:val="32"/>
          <w:u w:val="single"/>
          <w14:textFill>
            <w14:solidFill>
              <w14:schemeClr w14:val="tx1"/>
            </w14:solidFill>
          </w14:textFill>
        </w:rPr>
      </w:pPr>
      <w:r>
        <w:rPr>
          <w:b/>
          <w:color w:val="000000" w:themeColor="text1"/>
          <w:sz w:val="32"/>
          <w:szCs w:val="32"/>
          <w14:textFill>
            <w14:solidFill>
              <w14:schemeClr w14:val="tx1"/>
            </w14:solidFill>
          </w14:textFill>
        </w:rPr>
        <w:t>二〇二</w:t>
      </w:r>
      <w:r>
        <w:rPr>
          <w:rFonts w:hint="eastAsia"/>
          <w:b/>
          <w:color w:val="000000" w:themeColor="text1"/>
          <w:sz w:val="32"/>
          <w:szCs w:val="32"/>
          <w:lang w:val="en-US" w:eastAsia="zh-CN"/>
          <w14:textFill>
            <w14:solidFill>
              <w14:schemeClr w14:val="tx1"/>
            </w14:solidFill>
          </w14:textFill>
        </w:rPr>
        <w:t>五</w:t>
      </w:r>
      <w:r>
        <w:rPr>
          <w:rFonts w:hint="eastAsia"/>
          <w:b/>
          <w:color w:val="000000" w:themeColor="text1"/>
          <w:sz w:val="32"/>
          <w:szCs w:val="32"/>
          <w14:textFill>
            <w14:solidFill>
              <w14:schemeClr w14:val="tx1"/>
            </w14:solidFill>
          </w14:textFill>
        </w:rPr>
        <w:t>年</w:t>
      </w:r>
      <w:r>
        <w:rPr>
          <w:rFonts w:hint="eastAsia"/>
          <w:b/>
          <w:color w:val="000000" w:themeColor="text1"/>
          <w:sz w:val="32"/>
          <w:szCs w:val="32"/>
          <w:lang w:val="en-US" w:eastAsia="zh-CN"/>
          <w14:textFill>
            <w14:solidFill>
              <w14:schemeClr w14:val="tx1"/>
            </w14:solidFill>
          </w14:textFill>
        </w:rPr>
        <w:t>七</w:t>
      </w:r>
      <w:r>
        <w:rPr>
          <w:b/>
          <w:color w:val="000000" w:themeColor="text1"/>
          <w:sz w:val="32"/>
          <w:szCs w:val="32"/>
          <w14:textFill>
            <w14:solidFill>
              <w14:schemeClr w14:val="tx1"/>
            </w14:solidFill>
          </w14:textFill>
        </w:rPr>
        <w:t>月</w:t>
      </w:r>
      <w:r>
        <w:rPr>
          <w:b/>
          <w:bCs/>
          <w:color w:val="000000" w:themeColor="text1"/>
          <w:sz w:val="32"/>
          <w:szCs w:val="32"/>
          <w14:textFill>
            <w14:solidFill>
              <w14:schemeClr w14:val="tx1"/>
            </w14:solidFill>
          </w14:textFill>
        </w:rPr>
        <w:br w:type="page"/>
      </w:r>
      <w:bookmarkEnd w:id="3"/>
    </w:p>
    <w:bookmarkEnd w:id="0"/>
    <w:bookmarkEnd w:id="1"/>
    <w:bookmarkEnd w:id="2"/>
    <w:sdt>
      <w:sdtPr>
        <w:rPr>
          <w:rFonts w:ascii="宋体" w:hAnsi="宋体"/>
          <w:color w:val="000000" w:themeColor="text1"/>
          <w:kern w:val="0"/>
          <w:szCs w:val="22"/>
          <w14:textFill>
            <w14:solidFill>
              <w14:schemeClr w14:val="tx1"/>
            </w14:solidFill>
          </w14:textFill>
        </w:rPr>
        <w:id w:val="147459148"/>
        <w:docPartObj>
          <w:docPartGallery w:val="Table of Contents"/>
          <w:docPartUnique/>
        </w:docPartObj>
      </w:sdtPr>
      <w:sdtEndPr>
        <w:rPr>
          <w:rFonts w:ascii="宋体" w:hAnsi="Times New Roman"/>
          <w:color w:val="000000" w:themeColor="text1"/>
          <w:kern w:val="0"/>
          <w:szCs w:val="22"/>
          <w14:textFill>
            <w14:solidFill>
              <w14:schemeClr w14:val="tx1"/>
            </w14:solidFill>
          </w14:textFill>
        </w:rPr>
      </w:sdtEndPr>
      <w:sdtContent>
        <w:p w14:paraId="2B549C99">
          <w:pPr>
            <w:jc w:val="center"/>
            <w:rPr>
              <w:rFonts w:ascii="宋体" w:hAnsi="宋体"/>
              <w:b/>
              <w:bCs/>
              <w:color w:val="000000" w:themeColor="text1"/>
              <w:sz w:val="44"/>
              <w:szCs w:val="52"/>
              <w14:textFill>
                <w14:solidFill>
                  <w14:schemeClr w14:val="tx1"/>
                </w14:solidFill>
              </w14:textFill>
            </w:rPr>
          </w:pPr>
          <w:bookmarkStart w:id="4" w:name="_Toc508216877"/>
          <w:bookmarkStart w:id="5" w:name="_Toc12743"/>
          <w:bookmarkStart w:id="6" w:name="OLE_LINK4"/>
          <w:bookmarkStart w:id="7" w:name="OLE_LINK3"/>
          <w:bookmarkStart w:id="8" w:name="_Toc368759511"/>
          <w:bookmarkStart w:id="9" w:name="OLE_LINK1"/>
          <w:bookmarkStart w:id="10" w:name="_Toc369077550"/>
          <w:bookmarkStart w:id="11" w:name="OLE_LINK5"/>
          <w:bookmarkStart w:id="12" w:name="OLE_LINK2"/>
          <w:bookmarkStart w:id="13" w:name="OLE_LINK6"/>
          <w:r>
            <w:rPr>
              <w:rFonts w:hint="eastAsia" w:ascii="宋体" w:hAnsi="宋体"/>
              <w:b/>
              <w:bCs/>
              <w:color w:val="000000" w:themeColor="text1"/>
              <w:sz w:val="44"/>
              <w:szCs w:val="52"/>
              <w14:textFill>
                <w14:solidFill>
                  <w14:schemeClr w14:val="tx1"/>
                </w14:solidFill>
              </w14:textFill>
            </w:rPr>
            <w:t>总</w:t>
          </w:r>
          <w:r>
            <w:rPr>
              <w:rFonts w:ascii="宋体" w:hAnsi="宋体"/>
              <w:b/>
              <w:bCs/>
              <w:color w:val="000000" w:themeColor="text1"/>
              <w:sz w:val="44"/>
              <w:szCs w:val="52"/>
              <w14:textFill>
                <w14:solidFill>
                  <w14:schemeClr w14:val="tx1"/>
                </w14:solidFill>
              </w14:textFill>
            </w:rPr>
            <w:t>目录</w:t>
          </w:r>
        </w:p>
        <w:p w14:paraId="68085838">
          <w:pPr>
            <w:pStyle w:val="19"/>
            <w:rPr>
              <w:color w:val="000000" w:themeColor="text1"/>
              <w14:textFill>
                <w14:solidFill>
                  <w14:schemeClr w14:val="tx1"/>
                </w14:solidFill>
              </w14:textFill>
            </w:rPr>
          </w:pPr>
        </w:p>
        <w:p w14:paraId="232D56DB">
          <w:pPr>
            <w:pStyle w:val="32"/>
            <w:tabs>
              <w:tab w:val="right" w:leader="dot" w:pos="9054"/>
            </w:tabs>
            <w:spacing w:line="900" w:lineRule="exact"/>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TOC \o "1-1" \h \u </w:instrText>
          </w:r>
          <w:r>
            <w:rPr>
              <w:color w:val="000000" w:themeColor="text1"/>
              <w:sz w:val="32"/>
              <w:szCs w:val="32"/>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"_Toc151229424" </w:instrText>
          </w:r>
          <w:r>
            <w:rPr>
              <w:color w:val="000000" w:themeColor="text1"/>
              <w14:textFill>
                <w14:solidFill>
                  <w14:schemeClr w14:val="tx1"/>
                </w14:solidFill>
              </w14:textFill>
            </w:rPr>
            <w:fldChar w:fldCharType="separate"/>
          </w:r>
          <w:r>
            <w:rPr>
              <w:rStyle w:val="60"/>
              <w:rFonts w:hint="eastAsia"/>
              <w:color w:val="000000" w:themeColor="text1"/>
              <w:sz w:val="28"/>
              <w:szCs w:val="28"/>
              <w14:textFill>
                <w14:solidFill>
                  <w14:schemeClr w14:val="tx1"/>
                </w14:solidFill>
              </w14:textFill>
            </w:rPr>
            <w:t>第一章</w:t>
          </w:r>
          <w:r>
            <w:rPr>
              <w:rStyle w:val="60"/>
              <w:color w:val="000000" w:themeColor="text1"/>
              <w:sz w:val="28"/>
              <w:szCs w:val="28"/>
              <w14:textFill>
                <w14:solidFill>
                  <w14:schemeClr w14:val="tx1"/>
                </w14:solidFill>
              </w14:textFill>
            </w:rPr>
            <w:t xml:space="preserve">  </w:t>
          </w:r>
          <w:r>
            <w:rPr>
              <w:rStyle w:val="60"/>
              <w:rFonts w:hint="eastAsia"/>
              <w:color w:val="000000" w:themeColor="text1"/>
              <w:sz w:val="28"/>
              <w:szCs w:val="28"/>
              <w14:textFill>
                <w14:solidFill>
                  <w14:schemeClr w14:val="tx1"/>
                </w14:solidFill>
              </w14:textFill>
            </w:rPr>
            <w:t>招标公告</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_Toc151229424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1D69C25D">
          <w:pPr>
            <w:pStyle w:val="32"/>
            <w:tabs>
              <w:tab w:val="right" w:leader="dot" w:pos="9054"/>
            </w:tabs>
            <w:spacing w:line="900" w:lineRule="exact"/>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"_Toc151229425" </w:instrText>
          </w:r>
          <w:r>
            <w:rPr>
              <w:color w:val="000000" w:themeColor="text1"/>
              <w14:textFill>
                <w14:solidFill>
                  <w14:schemeClr w14:val="tx1"/>
                </w14:solidFill>
              </w14:textFill>
            </w:rPr>
            <w:fldChar w:fldCharType="separate"/>
          </w:r>
          <w:r>
            <w:rPr>
              <w:rStyle w:val="60"/>
              <w:rFonts w:hint="eastAsia"/>
              <w:color w:val="000000" w:themeColor="text1"/>
              <w:sz w:val="28"/>
              <w:szCs w:val="28"/>
              <w14:textFill>
                <w14:solidFill>
                  <w14:schemeClr w14:val="tx1"/>
                </w14:solidFill>
              </w14:textFill>
            </w:rPr>
            <w:t>第二章</w:t>
          </w:r>
          <w:r>
            <w:rPr>
              <w:rStyle w:val="60"/>
              <w:color w:val="000000" w:themeColor="text1"/>
              <w:sz w:val="28"/>
              <w:szCs w:val="28"/>
              <w14:textFill>
                <w14:solidFill>
                  <w14:schemeClr w14:val="tx1"/>
                </w14:solidFill>
              </w14:textFill>
            </w:rPr>
            <w:t xml:space="preserve">  </w:t>
          </w:r>
          <w:r>
            <w:rPr>
              <w:rStyle w:val="60"/>
              <w:rFonts w:hint="eastAsia"/>
              <w:color w:val="000000" w:themeColor="text1"/>
              <w:sz w:val="28"/>
              <w:szCs w:val="28"/>
              <w14:textFill>
                <w14:solidFill>
                  <w14:schemeClr w14:val="tx1"/>
                </w14:solidFill>
              </w14:textFill>
            </w:rPr>
            <w:t>投标人须知</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_Toc151229425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7D52231A">
          <w:pPr>
            <w:pStyle w:val="32"/>
            <w:tabs>
              <w:tab w:val="right" w:leader="dot" w:pos="9054"/>
            </w:tabs>
            <w:spacing w:line="900" w:lineRule="exact"/>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"_Toc151229426" </w:instrText>
          </w:r>
          <w:r>
            <w:rPr>
              <w:color w:val="000000" w:themeColor="text1"/>
              <w14:textFill>
                <w14:solidFill>
                  <w14:schemeClr w14:val="tx1"/>
                </w14:solidFill>
              </w14:textFill>
            </w:rPr>
            <w:fldChar w:fldCharType="separate"/>
          </w:r>
          <w:r>
            <w:rPr>
              <w:rStyle w:val="60"/>
              <w:rFonts w:hint="eastAsia"/>
              <w:color w:val="000000" w:themeColor="text1"/>
              <w:sz w:val="28"/>
              <w:szCs w:val="28"/>
              <w14:textFill>
                <w14:solidFill>
                  <w14:schemeClr w14:val="tx1"/>
                </w14:solidFill>
              </w14:textFill>
            </w:rPr>
            <w:t>第三章</w:t>
          </w:r>
          <w:r>
            <w:rPr>
              <w:rStyle w:val="60"/>
              <w:color w:val="000000" w:themeColor="text1"/>
              <w:sz w:val="28"/>
              <w:szCs w:val="28"/>
              <w14:textFill>
                <w14:solidFill>
                  <w14:schemeClr w14:val="tx1"/>
                </w14:solidFill>
              </w14:textFill>
            </w:rPr>
            <w:t xml:space="preserve"> </w:t>
          </w:r>
          <w:r>
            <w:rPr>
              <w:rStyle w:val="60"/>
              <w:rFonts w:hint="eastAsia"/>
              <w:color w:val="000000" w:themeColor="text1"/>
              <w:sz w:val="28"/>
              <w:szCs w:val="28"/>
              <w14:textFill>
                <w14:solidFill>
                  <w14:schemeClr w14:val="tx1"/>
                </w14:solidFill>
              </w14:textFill>
            </w:rPr>
            <w:t xml:space="preserve"> 评标办法（综合评分法）</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_Toc151229426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53199AEC">
          <w:pPr>
            <w:pStyle w:val="32"/>
            <w:tabs>
              <w:tab w:val="right" w:leader="dot" w:pos="9054"/>
            </w:tabs>
            <w:spacing w:line="900" w:lineRule="exact"/>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"_Toc151229427" </w:instrText>
          </w:r>
          <w:r>
            <w:rPr>
              <w:color w:val="000000" w:themeColor="text1"/>
              <w14:textFill>
                <w14:solidFill>
                  <w14:schemeClr w14:val="tx1"/>
                </w14:solidFill>
              </w14:textFill>
            </w:rPr>
            <w:fldChar w:fldCharType="separate"/>
          </w:r>
          <w:r>
            <w:rPr>
              <w:rStyle w:val="60"/>
              <w:rFonts w:hint="eastAsia"/>
              <w:color w:val="000000" w:themeColor="text1"/>
              <w:sz w:val="28"/>
              <w:szCs w:val="28"/>
              <w14:textFill>
                <w14:solidFill>
                  <w14:schemeClr w14:val="tx1"/>
                </w14:solidFill>
              </w14:textFill>
            </w:rPr>
            <w:t>第四章</w:t>
          </w:r>
          <w:r>
            <w:rPr>
              <w:rStyle w:val="60"/>
              <w:color w:val="000000" w:themeColor="text1"/>
              <w:sz w:val="28"/>
              <w:szCs w:val="28"/>
              <w14:textFill>
                <w14:solidFill>
                  <w14:schemeClr w14:val="tx1"/>
                </w14:solidFill>
              </w14:textFill>
            </w:rPr>
            <w:t xml:space="preserve">  </w:t>
          </w:r>
          <w:r>
            <w:rPr>
              <w:rStyle w:val="60"/>
              <w:rFonts w:hint="eastAsia"/>
              <w:color w:val="000000" w:themeColor="text1"/>
              <w:sz w:val="28"/>
              <w:szCs w:val="28"/>
              <w14:textFill>
                <w14:solidFill>
                  <w14:schemeClr w14:val="tx1"/>
                </w14:solidFill>
              </w14:textFill>
            </w:rPr>
            <w:t>合同条款及格式</w:t>
          </w:r>
          <w:r>
            <w:rPr>
              <w:color w:val="000000" w:themeColor="text1"/>
              <w:sz w:val="28"/>
              <w:szCs w:val="28"/>
              <w14:textFill>
                <w14:solidFill>
                  <w14:schemeClr w14:val="tx1"/>
                </w14:solidFill>
              </w14:textFill>
            </w:rPr>
            <w:tab/>
          </w:r>
          <w:r>
            <w:rPr>
              <w:rFonts w:hint="eastAsia"/>
              <w:color w:val="000000" w:themeColor="text1"/>
              <w:sz w:val="28"/>
              <w:szCs w:val="28"/>
              <w:lang w:val="en-US" w:eastAsia="zh-CN"/>
              <w14:textFill>
                <w14:solidFill>
                  <w14:schemeClr w14:val="tx1"/>
                </w14:solidFill>
              </w14:textFill>
            </w:rPr>
            <w:t>29</w:t>
          </w:r>
          <w:r>
            <w:rPr>
              <w:color w:val="000000" w:themeColor="text1"/>
              <w:sz w:val="28"/>
              <w:szCs w:val="28"/>
              <w14:textFill>
                <w14:solidFill>
                  <w14:schemeClr w14:val="tx1"/>
                </w14:solidFill>
              </w14:textFill>
            </w:rPr>
            <w:fldChar w:fldCharType="end"/>
          </w:r>
        </w:p>
        <w:p w14:paraId="185940F4">
          <w:pPr>
            <w:pStyle w:val="32"/>
            <w:tabs>
              <w:tab w:val="right" w:leader="dot" w:pos="9054"/>
            </w:tabs>
            <w:spacing w:line="900" w:lineRule="exact"/>
            <w:rPr>
              <w:rFonts w:hint="eastAsia" w:eastAsia="宋体" w:asciiTheme="minorHAnsi" w:hAnsiTheme="minorHAnsi" w:cstheme="minorBidi"/>
              <w:color w:val="000000" w:themeColor="text1"/>
              <w:sz w:val="28"/>
              <w:szCs w:val="28"/>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"_Toc151229428" </w:instrText>
          </w:r>
          <w:r>
            <w:rPr>
              <w:color w:val="000000" w:themeColor="text1"/>
              <w14:textFill>
                <w14:solidFill>
                  <w14:schemeClr w14:val="tx1"/>
                </w14:solidFill>
              </w14:textFill>
            </w:rPr>
            <w:fldChar w:fldCharType="separate"/>
          </w:r>
          <w:r>
            <w:rPr>
              <w:rStyle w:val="60"/>
              <w:rFonts w:hint="eastAsia"/>
              <w:color w:val="000000" w:themeColor="text1"/>
              <w:sz w:val="28"/>
              <w:szCs w:val="28"/>
              <w14:textFill>
                <w14:solidFill>
                  <w14:schemeClr w14:val="tx1"/>
                </w14:solidFill>
              </w14:textFill>
            </w:rPr>
            <w:t>第五章</w:t>
          </w:r>
          <w:r>
            <w:rPr>
              <w:rStyle w:val="60"/>
              <w:color w:val="000000" w:themeColor="text1"/>
              <w:sz w:val="28"/>
              <w:szCs w:val="28"/>
              <w14:textFill>
                <w14:solidFill>
                  <w14:schemeClr w14:val="tx1"/>
                </w14:solidFill>
              </w14:textFill>
            </w:rPr>
            <w:t xml:space="preserve">  </w:t>
          </w:r>
          <w:r>
            <w:rPr>
              <w:rStyle w:val="60"/>
              <w:rFonts w:hint="eastAsia"/>
              <w:color w:val="000000" w:themeColor="text1"/>
              <w:sz w:val="28"/>
              <w:szCs w:val="28"/>
              <w14:textFill>
                <w14:solidFill>
                  <w14:schemeClr w14:val="tx1"/>
                </w14:solidFill>
              </w14:textFill>
            </w:rPr>
            <w:t>采购需求</w:t>
          </w:r>
          <w:r>
            <w:rPr>
              <w:color w:val="000000" w:themeColor="text1"/>
              <w:sz w:val="28"/>
              <w:szCs w:val="28"/>
              <w14:textFill>
                <w14:solidFill>
                  <w14:schemeClr w14:val="tx1"/>
                </w14:solidFill>
              </w14:textFill>
            </w:rPr>
            <w:tab/>
          </w:r>
          <w:r>
            <w:rPr>
              <w:rFonts w:hint="eastAsia"/>
              <w:color w:val="000000" w:themeColor="text1"/>
              <w:sz w:val="28"/>
              <w:szCs w:val="28"/>
              <w:lang w:val="en-US" w:eastAsia="zh-CN"/>
              <w14:textFill>
                <w14:solidFill>
                  <w14:schemeClr w14:val="tx1"/>
                </w14:solidFill>
              </w14:textFill>
            </w:rPr>
            <w:t>3</w:t>
          </w:r>
          <w:r>
            <w:rPr>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7</w:t>
          </w:r>
        </w:p>
        <w:p w14:paraId="331D95BA">
          <w:pPr>
            <w:pStyle w:val="32"/>
            <w:tabs>
              <w:tab w:val="right" w:leader="dot" w:pos="9054"/>
            </w:tabs>
            <w:spacing w:line="900" w:lineRule="exact"/>
            <w:rPr>
              <w:rFonts w:hint="eastAsia" w:eastAsia="宋体" w:asciiTheme="minorHAnsi" w:hAnsiTheme="minorHAnsi" w:cstheme="minorBidi"/>
              <w:color w:val="000000" w:themeColor="text1"/>
              <w:szCs w:val="2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"_Toc151229429" </w:instrText>
          </w:r>
          <w:r>
            <w:rPr>
              <w:color w:val="000000" w:themeColor="text1"/>
              <w14:textFill>
                <w14:solidFill>
                  <w14:schemeClr w14:val="tx1"/>
                </w14:solidFill>
              </w14:textFill>
            </w:rPr>
            <w:fldChar w:fldCharType="separate"/>
          </w:r>
          <w:r>
            <w:rPr>
              <w:rStyle w:val="60"/>
              <w:rFonts w:hint="eastAsia"/>
              <w:color w:val="000000" w:themeColor="text1"/>
              <w:sz w:val="28"/>
              <w:szCs w:val="28"/>
              <w14:textFill>
                <w14:solidFill>
                  <w14:schemeClr w14:val="tx1"/>
                </w14:solidFill>
              </w14:textFill>
            </w:rPr>
            <w:t>第六章</w:t>
          </w:r>
          <w:r>
            <w:rPr>
              <w:rStyle w:val="60"/>
              <w:color w:val="000000" w:themeColor="text1"/>
              <w:sz w:val="28"/>
              <w:szCs w:val="28"/>
              <w14:textFill>
                <w14:solidFill>
                  <w14:schemeClr w14:val="tx1"/>
                </w14:solidFill>
              </w14:textFill>
            </w:rPr>
            <w:t xml:space="preserve">  </w:t>
          </w:r>
          <w:r>
            <w:rPr>
              <w:rStyle w:val="60"/>
              <w:rFonts w:hint="eastAsia"/>
              <w:color w:val="000000" w:themeColor="text1"/>
              <w:sz w:val="28"/>
              <w:szCs w:val="28"/>
              <w14:textFill>
                <w14:solidFill>
                  <w14:schemeClr w14:val="tx1"/>
                </w14:solidFill>
              </w14:textFill>
            </w:rPr>
            <w:t>投标文件格式</w:t>
          </w:r>
          <w:r>
            <w:rPr>
              <w:color w:val="000000" w:themeColor="text1"/>
              <w:sz w:val="28"/>
              <w:szCs w:val="28"/>
              <w14:textFill>
                <w14:solidFill>
                  <w14:schemeClr w14:val="tx1"/>
                </w14:solidFill>
              </w14:textFill>
            </w:rPr>
            <w:tab/>
          </w:r>
          <w:r>
            <w:rPr>
              <w:rFonts w:hint="eastAsia"/>
              <w:color w:val="000000" w:themeColor="text1"/>
              <w:sz w:val="28"/>
              <w:szCs w:val="28"/>
              <w:lang w:val="en-US" w:eastAsia="zh-CN"/>
              <w14:textFill>
                <w14:solidFill>
                  <w14:schemeClr w14:val="tx1"/>
                </w14:solidFill>
              </w14:textFill>
            </w:rPr>
            <w:t>4</w:t>
          </w:r>
          <w:r>
            <w:rPr>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3</w:t>
          </w:r>
        </w:p>
        <w:p w14:paraId="1105C62F">
          <w:pPr>
            <w:pStyle w:val="67"/>
            <w:spacing w:line="900" w:lineRule="exact"/>
            <w:rPr>
              <w:color w:val="000000" w:themeColor="text1"/>
              <w14:textFill>
                <w14:solidFill>
                  <w14:schemeClr w14:val="tx1"/>
                </w14:solidFill>
              </w14:textFill>
            </w:rPr>
          </w:pPr>
          <w:r>
            <w:rPr>
              <w:color w:val="000000" w:themeColor="text1"/>
              <w:sz w:val="32"/>
              <w:szCs w:val="32"/>
              <w14:textFill>
                <w14:solidFill>
                  <w14:schemeClr w14:val="tx1"/>
                </w14:solidFill>
              </w14:textFill>
            </w:rPr>
            <w:fldChar w:fldCharType="end"/>
          </w:r>
        </w:p>
      </w:sdtContent>
    </w:sdt>
    <w:p w14:paraId="071EB132">
      <w:pPr>
        <w:pStyle w:val="3"/>
        <w:spacing w:before="0" w:after="0" w:line="360" w:lineRule="auto"/>
        <w:rPr>
          <w:color w:val="000000" w:themeColor="text1"/>
          <w:sz w:val="40"/>
          <w:szCs w:val="40"/>
          <w14:textFill>
            <w14:solidFill>
              <w14:schemeClr w14:val="tx1"/>
            </w14:solidFill>
          </w14:textFill>
        </w:rPr>
        <w:sectPr>
          <w:footerReference r:id="rId3" w:type="default"/>
          <w:footerReference r:id="rId4" w:type="even"/>
          <w:pgSz w:w="11900" w:h="16840"/>
          <w:pgMar w:top="1418" w:right="1418" w:bottom="1418" w:left="1418" w:header="0" w:footer="992" w:gutter="0"/>
          <w:pgBorders>
            <w:top w:val="none" w:sz="0" w:space="0"/>
            <w:left w:val="none" w:sz="0" w:space="0"/>
            <w:bottom w:val="none" w:sz="0" w:space="0"/>
            <w:right w:val="none" w:sz="0" w:space="0"/>
          </w:pgBorders>
          <w:pgNumType w:start="0"/>
          <w:cols w:space="720" w:num="1"/>
          <w:titlePg/>
          <w:docGrid w:linePitch="360" w:charSpace="0"/>
        </w:sectPr>
      </w:pPr>
      <w:bookmarkStart w:id="14" w:name="_Toc151229424"/>
    </w:p>
    <w:p w14:paraId="33FAF0E8">
      <w:pPr>
        <w:pStyle w:val="3"/>
        <w:spacing w:before="0" w:after="0" w:line="360" w:lineRule="auto"/>
        <w:jc w:val="center"/>
        <w:rPr>
          <w:b/>
          <w:color w:val="000000" w:themeColor="text1"/>
          <w:sz w:val="30"/>
          <w:szCs w:val="30"/>
          <w14:textFill>
            <w14:solidFill>
              <w14:schemeClr w14:val="tx1"/>
            </w14:solidFill>
          </w14:textFill>
        </w:rPr>
      </w:pPr>
      <w:r>
        <w:rPr>
          <w:color w:val="000000" w:themeColor="text1"/>
          <w:sz w:val="40"/>
          <w:szCs w:val="40"/>
          <w14:textFill>
            <w14:solidFill>
              <w14:schemeClr w14:val="tx1"/>
            </w14:solidFill>
          </w14:textFill>
        </w:rPr>
        <w:t xml:space="preserve">第一章  </w:t>
      </w:r>
      <w:bookmarkStart w:id="15" w:name="_Hlk166146181"/>
      <w:bookmarkStart w:id="16" w:name="_Hlk165203175"/>
      <w:r>
        <w:rPr>
          <w:color w:val="000000" w:themeColor="text1"/>
          <w:sz w:val="40"/>
          <w:szCs w:val="40"/>
          <w14:textFill>
            <w14:solidFill>
              <w14:schemeClr w14:val="tx1"/>
            </w14:solidFill>
          </w14:textFill>
        </w:rPr>
        <w:t>招标公告</w:t>
      </w:r>
      <w:bookmarkEnd w:id="4"/>
      <w:bookmarkEnd w:id="5"/>
      <w:bookmarkEnd w:id="14"/>
    </w:p>
    <w:p w14:paraId="3CF8B7CB">
      <w:pPr>
        <w:keepNext w:val="0"/>
        <w:keepLines w:val="0"/>
        <w:pageBreakBefore w:val="0"/>
        <w:widowControl w:val="0"/>
        <w:kinsoku/>
        <w:wordWrap w:val="0"/>
        <w:overflowPunct/>
        <w:topLinePunct w:val="0"/>
        <w:autoSpaceDE/>
        <w:autoSpaceDN/>
        <w:bidi w:val="0"/>
        <w:adjustRightInd/>
        <w:snapToGrid/>
        <w:spacing w:line="480" w:lineRule="exact"/>
        <w:ind w:firstLine="422" w:firstLineChars="200"/>
        <w:jc w:val="left"/>
        <w:textAlignment w:val="auto"/>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项目概况：</w:t>
      </w:r>
      <w:r>
        <w:rPr>
          <w:rFonts w:hint="eastAsia"/>
          <w:color w:val="000000" w:themeColor="text1"/>
          <w:szCs w:val="21"/>
          <w:u w:val="single"/>
          <w:lang w:eastAsia="zh-CN"/>
          <w14:textFill>
            <w14:solidFill>
              <w14:schemeClr w14:val="tx1"/>
            </w14:solidFill>
          </w14:textFill>
        </w:rPr>
        <w:t>大丰区农村生活污水智慧管理平台（二期）</w:t>
      </w:r>
      <w:r>
        <w:rPr>
          <w:color w:val="000000" w:themeColor="text1"/>
          <w:szCs w:val="21"/>
          <w14:textFill>
            <w14:solidFill>
              <w14:schemeClr w14:val="tx1"/>
            </w14:solidFill>
          </w14:textFill>
        </w:rPr>
        <w:t>的潜在投标人应在“新点电子交易平台-大丰采购系统”（网址：https://www.etrading.cn/BREpointSSO/login/oauth2login）获取招标文件，并于</w:t>
      </w:r>
      <w:r>
        <w:rPr>
          <w:color w:val="000000" w:themeColor="text1"/>
          <w:szCs w:val="21"/>
          <w:u w:val="single"/>
          <w14:textFill>
            <w14:solidFill>
              <w14:schemeClr w14:val="tx1"/>
            </w14:solidFill>
          </w14:textFill>
        </w:rPr>
        <w:t>202</w:t>
      </w:r>
      <w:r>
        <w:rPr>
          <w:rFonts w:hint="eastAsia"/>
          <w:color w:val="000000" w:themeColor="text1"/>
          <w:szCs w:val="21"/>
          <w:u w:val="single"/>
          <w:lang w:val="en-US" w:eastAsia="zh-CN"/>
          <w14:textFill>
            <w14:solidFill>
              <w14:schemeClr w14:val="tx1"/>
            </w14:solidFill>
          </w14:textFill>
        </w:rPr>
        <w:t>5</w:t>
      </w:r>
      <w:r>
        <w:rPr>
          <w:color w:val="000000" w:themeColor="text1"/>
          <w:szCs w:val="21"/>
          <w14:textFill>
            <w14:solidFill>
              <w14:schemeClr w14:val="tx1"/>
            </w14:solidFill>
          </w14:textFill>
        </w:rPr>
        <w:t>年</w:t>
      </w:r>
      <w:r>
        <w:rPr>
          <w:rFonts w:hint="eastAsia"/>
          <w:color w:val="000000" w:themeColor="text1"/>
          <w:szCs w:val="21"/>
          <w:u w:val="single"/>
          <w:lang w:val="en-US" w:eastAsia="zh-CN"/>
          <w14:textFill>
            <w14:solidFill>
              <w14:schemeClr w14:val="tx1"/>
            </w14:solidFill>
          </w14:textFill>
        </w:rPr>
        <w:t xml:space="preserve"> 9</w:t>
      </w:r>
      <w:r>
        <w:rPr>
          <w:color w:val="000000" w:themeColor="text1"/>
          <w:szCs w:val="21"/>
          <w14:textFill>
            <w14:solidFill>
              <w14:schemeClr w14:val="tx1"/>
            </w14:solidFill>
          </w14:textFill>
        </w:rPr>
        <w:t>月</w:t>
      </w:r>
      <w:r>
        <w:rPr>
          <w:rFonts w:hint="eastAsia"/>
          <w:color w:val="000000" w:themeColor="text1"/>
          <w:szCs w:val="21"/>
          <w:u w:val="single"/>
          <w:lang w:val="en-US" w:eastAsia="zh-CN"/>
          <w14:textFill>
            <w14:solidFill>
              <w14:schemeClr w14:val="tx1"/>
            </w14:solidFill>
          </w14:textFill>
        </w:rPr>
        <w:t xml:space="preserve"> 4</w:t>
      </w:r>
      <w:r>
        <w:rPr>
          <w:color w:val="000000" w:themeColor="text1"/>
          <w:szCs w:val="21"/>
          <w14:textFill>
            <w14:solidFill>
              <w14:schemeClr w14:val="tx1"/>
            </w14:solidFill>
          </w14:textFill>
        </w:rPr>
        <w:t>日</w:t>
      </w:r>
      <w:r>
        <w:rPr>
          <w:rFonts w:hint="eastAsia"/>
          <w:color w:val="000000" w:themeColor="text1"/>
          <w:szCs w:val="21"/>
          <w:u w:val="single"/>
          <w:lang w:val="en-US" w:eastAsia="zh-CN"/>
          <w14:textFill>
            <w14:solidFill>
              <w14:schemeClr w14:val="tx1"/>
            </w14:solidFill>
          </w14:textFill>
        </w:rPr>
        <w:t xml:space="preserve"> 9</w:t>
      </w:r>
      <w:r>
        <w:rPr>
          <w:color w:val="000000" w:themeColor="text1"/>
          <w:szCs w:val="21"/>
          <w14:textFill>
            <w14:solidFill>
              <w14:schemeClr w14:val="tx1"/>
            </w14:solidFill>
          </w14:textFill>
        </w:rPr>
        <w:t>时</w:t>
      </w:r>
      <w:r>
        <w:rPr>
          <w:rFonts w:hint="eastAsia"/>
          <w:color w:val="000000" w:themeColor="text1"/>
          <w:szCs w:val="21"/>
          <w:u w:val="single"/>
          <w:lang w:val="en-US" w:eastAsia="zh-CN"/>
          <w14:textFill>
            <w14:solidFill>
              <w14:schemeClr w14:val="tx1"/>
            </w14:solidFill>
          </w14:textFill>
        </w:rPr>
        <w:t>00</w:t>
      </w:r>
      <w:r>
        <w:rPr>
          <w:rFonts w:hint="eastAsia"/>
          <w:color w:val="000000" w:themeColor="text1"/>
          <w:szCs w:val="21"/>
          <w14:textFill>
            <w14:solidFill>
              <w14:schemeClr w14:val="tx1"/>
            </w14:solidFill>
          </w14:textFill>
        </w:rPr>
        <w:t>分</w:t>
      </w:r>
      <w:r>
        <w:rPr>
          <w:rFonts w:hint="eastAsia"/>
          <w:color w:val="000000" w:themeColor="text1"/>
          <w:szCs w:val="21"/>
          <w:u w:val="single"/>
          <w:lang w:val="en-US" w:eastAsia="zh-CN"/>
          <w14:textFill>
            <w14:solidFill>
              <w14:schemeClr w14:val="tx1"/>
            </w14:solidFill>
          </w14:textFill>
        </w:rPr>
        <w:t>00</w:t>
      </w:r>
      <w:r>
        <w:rPr>
          <w:color w:val="000000" w:themeColor="text1"/>
          <w:szCs w:val="21"/>
          <w14:textFill>
            <w14:solidFill>
              <w14:schemeClr w14:val="tx1"/>
            </w14:solidFill>
          </w14:textFill>
        </w:rPr>
        <w:t>秒（北京时间）前递交投标文件。</w:t>
      </w:r>
    </w:p>
    <w:p w14:paraId="2CAFB379">
      <w:pPr>
        <w:spacing w:line="480" w:lineRule="exact"/>
        <w:ind w:firstLine="422" w:firstLineChars="200"/>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一、项目基本概况</w:t>
      </w:r>
    </w:p>
    <w:p w14:paraId="6B8502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260" w:lineRule="atLeast"/>
        <w:ind w:left="0" w:right="0" w:firstLine="420" w:firstLineChars="200"/>
        <w:jc w:val="left"/>
        <w:rPr>
          <w:rFonts w:hint="default"/>
          <w:color w:val="000000" w:themeColor="text1"/>
          <w:szCs w:val="21"/>
          <w:u w:val="single"/>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color w:val="000000" w:themeColor="text1"/>
          <w:szCs w:val="21"/>
          <w14:textFill>
            <w14:solidFill>
              <w14:schemeClr w14:val="tx1"/>
            </w14:solidFill>
          </w14:textFill>
        </w:rPr>
        <w:t>项目编号：</w:t>
      </w:r>
      <w:r>
        <w:rPr>
          <w:rFonts w:hint="eastAsia"/>
          <w:color w:val="000000" w:themeColor="text1"/>
          <w:szCs w:val="21"/>
          <w:u w:val="single"/>
          <w:lang w:val="en-US" w:eastAsia="zh-CN"/>
          <w14:textFill>
            <w14:solidFill>
              <w14:schemeClr w14:val="tx1"/>
            </w14:solidFill>
          </w14:textFill>
        </w:rPr>
        <w:t>DFCG202508009</w:t>
      </w:r>
    </w:p>
    <w:p w14:paraId="68C91DC7">
      <w:pPr>
        <w:spacing w:line="480" w:lineRule="exact"/>
        <w:ind w:firstLine="420" w:firstLineChars="200"/>
        <w:rPr>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color w:val="000000" w:themeColor="text1"/>
          <w:szCs w:val="21"/>
          <w14:textFill>
            <w14:solidFill>
              <w14:schemeClr w14:val="tx1"/>
            </w14:solidFill>
          </w14:textFill>
        </w:rPr>
        <w:t>项目名称：</w:t>
      </w:r>
      <w:r>
        <w:rPr>
          <w:rFonts w:hint="eastAsia"/>
          <w:color w:val="000000" w:themeColor="text1"/>
          <w:szCs w:val="21"/>
          <w:u w:val="single"/>
          <w:lang w:eastAsia="zh-CN"/>
          <w14:textFill>
            <w14:solidFill>
              <w14:schemeClr w14:val="tx1"/>
            </w14:solidFill>
          </w14:textFill>
        </w:rPr>
        <w:t>大丰区农村生活污水智慧管理平台（二期）</w:t>
      </w:r>
    </w:p>
    <w:p w14:paraId="06885B33">
      <w:pPr>
        <w:spacing w:line="480" w:lineRule="exact"/>
        <w:ind w:firstLine="420" w:firstLineChars="200"/>
        <w:rPr>
          <w:color w:val="000000" w:themeColor="text1"/>
          <w:szCs w:val="21"/>
          <w:u w:val="single"/>
          <w14:textFill>
            <w14:solidFill>
              <w14:schemeClr w14:val="tx1"/>
            </w14:solidFill>
          </w14:textFill>
        </w:rPr>
      </w:pPr>
      <w:r>
        <w:rPr>
          <w:rFonts w:hint="eastAsia"/>
          <w:color w:val="000000" w:themeColor="text1"/>
          <w14:textFill>
            <w14:solidFill>
              <w14:schemeClr w14:val="tx1"/>
            </w14:solidFill>
          </w14:textFill>
        </w:rPr>
        <w:t>3、最高限价：</w:t>
      </w:r>
      <w:r>
        <w:rPr>
          <w:rFonts w:hint="eastAsia"/>
          <w:color w:val="000000" w:themeColor="text1"/>
          <w:szCs w:val="21"/>
          <w:u w:val="single"/>
          <w:lang w:val="en-US" w:eastAsia="zh-CN"/>
          <w14:textFill>
            <w14:solidFill>
              <w14:schemeClr w14:val="tx1"/>
            </w14:solidFill>
          </w14:textFill>
        </w:rPr>
        <w:t>210</w:t>
      </w:r>
      <w:r>
        <w:rPr>
          <w:color w:val="000000" w:themeColor="text1"/>
          <w:szCs w:val="21"/>
          <w:u w:val="single"/>
          <w14:textFill>
            <w14:solidFill>
              <w14:schemeClr w14:val="tx1"/>
            </w14:solidFill>
          </w14:textFill>
        </w:rPr>
        <w:t>万元</w:t>
      </w:r>
    </w:p>
    <w:p w14:paraId="381F6954">
      <w:pPr>
        <w:adjustRightInd w:val="0"/>
        <w:snapToGrid w:val="0"/>
        <w:spacing w:line="480" w:lineRule="exact"/>
        <w:ind w:firstLine="420" w:firstLineChars="20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标段划分及采购内容：</w:t>
      </w:r>
      <w:r>
        <w:rPr>
          <w:rFonts w:hint="eastAsia"/>
          <w:color w:val="000000" w:themeColor="text1"/>
          <w:szCs w:val="21"/>
          <w:u w:val="single"/>
          <w14:textFill>
            <w14:solidFill>
              <w14:schemeClr w14:val="tx1"/>
            </w14:solidFill>
          </w14:textFill>
        </w:rPr>
        <w:t>本项目共分为1个标段，采购内容：</w:t>
      </w:r>
      <w:r>
        <w:rPr>
          <w:rFonts w:hint="eastAsia" w:ascii="宋体" w:hAnsi="宋体" w:cs="宋体"/>
          <w:color w:val="000000" w:themeColor="text1"/>
          <w:kern w:val="0"/>
          <w:szCs w:val="21"/>
          <w:u w:val="single"/>
          <w14:textFill>
            <w14:solidFill>
              <w14:schemeClr w14:val="tx1"/>
            </w14:solidFill>
          </w14:textFill>
        </w:rPr>
        <w:t>拟</w:t>
      </w:r>
      <w:r>
        <w:rPr>
          <w:rFonts w:hint="eastAsia" w:ascii="宋体" w:hAnsi="宋体" w:cs="宋体"/>
          <w:color w:val="000000" w:themeColor="text1"/>
          <w:kern w:val="0"/>
          <w:szCs w:val="21"/>
          <w:u w:val="single"/>
          <w:lang w:val="en-US" w:eastAsia="zh-CN"/>
          <w14:textFill>
            <w14:solidFill>
              <w14:schemeClr w14:val="tx1"/>
            </w14:solidFill>
          </w14:textFill>
        </w:rPr>
        <w:t>对</w:t>
      </w:r>
      <w:r>
        <w:rPr>
          <w:rFonts w:hint="eastAsia" w:ascii="Times New Roman" w:hAnsi="Times New Roman" w:eastAsia="宋体" w:cs="Times New Roman"/>
          <w:color w:val="000000" w:themeColor="text1"/>
          <w:szCs w:val="21"/>
          <w:u w:val="single"/>
          <w:lang w:val="en-US" w:eastAsia="zh-CN"/>
          <w14:textFill>
            <w14:solidFill>
              <w14:schemeClr w14:val="tx1"/>
            </w14:solidFill>
          </w14:textFill>
        </w:rPr>
        <w:t>大丰区农村生活污水智慧管理平台升级</w:t>
      </w:r>
      <w:r>
        <w:rPr>
          <w:rFonts w:hint="eastAsia"/>
          <w:color w:val="000000" w:themeColor="text1"/>
          <w:u w:val="single"/>
          <w14:textFill>
            <w14:solidFill>
              <w14:schemeClr w14:val="tx1"/>
            </w14:solidFill>
          </w14:textFill>
        </w:rPr>
        <w:t>。包括但不限于：（1）</w:t>
      </w:r>
      <w:r>
        <w:rPr>
          <w:rFonts w:hint="eastAsia" w:ascii="Times New Roman" w:hAnsi="Times New Roman" w:eastAsia="宋体" w:cs="Times New Roman"/>
          <w:color w:val="000000" w:themeColor="text1"/>
          <w:szCs w:val="21"/>
          <w:u w:val="single"/>
          <w14:textFill>
            <w14:solidFill>
              <w14:schemeClr w14:val="tx1"/>
            </w14:solidFill>
          </w14:textFill>
        </w:rPr>
        <w:t>围绕全区农村污水处理设施基础数据管理、设备运行监控、日常运维养护全周期，打造成深度应用、协同联动、一网统管的全要素平台，推进业务高效协同和管理创新，提升管理水平及治理能级。形成“精细化运营，集约化流程，智慧化监管，专业化模型”</w:t>
      </w:r>
      <w:r>
        <w:rPr>
          <w:rFonts w:hint="eastAsia"/>
          <w:color w:val="000000" w:themeColor="text1"/>
          <w:szCs w:val="21"/>
          <w:u w:val="single"/>
          <w14:textFill>
            <w14:solidFill>
              <w14:schemeClr w14:val="tx1"/>
            </w14:solidFill>
          </w14:textFill>
        </w:rPr>
        <w:t>；（2）设备的供货（含货物、软件和服务、包装运输及其保险）、安装、调试、检测验收、培训、试运行直至竣工验收合格，质保期内的所有检测费及免费提供设备运行所必须的备品备件、软件升级和专用工具等伴随服务，还包括提供技术资料、技术服务、维护保养等。（3）</w:t>
      </w:r>
      <w:r>
        <w:rPr>
          <w:rFonts w:hint="eastAsia" w:ascii="宋体" w:hAnsi="宋体" w:cs="宋体"/>
          <w:color w:val="000000" w:themeColor="text1"/>
          <w:u w:val="single"/>
          <w14:textFill>
            <w14:solidFill>
              <w14:schemeClr w14:val="tx1"/>
            </w14:solidFill>
          </w14:textFill>
        </w:rPr>
        <w:t>竣工验收合格后运维等全过程服务；（4）</w:t>
      </w:r>
      <w:r>
        <w:rPr>
          <w:rFonts w:hint="eastAsia"/>
          <w:color w:val="000000" w:themeColor="text1"/>
          <w:szCs w:val="21"/>
          <w:u w:val="single"/>
          <w14:textFill>
            <w14:solidFill>
              <w14:schemeClr w14:val="tx1"/>
            </w14:solidFill>
          </w14:textFill>
        </w:rPr>
        <w:t>对项目质量、安全、工期、造价</w:t>
      </w:r>
      <w:r>
        <w:rPr>
          <w:rFonts w:hint="eastAsia" w:ascii="宋体" w:hAnsi="宋体" w:cs="宋体"/>
          <w:color w:val="000000" w:themeColor="text1"/>
          <w:u w:val="single"/>
          <w14:textFill>
            <w14:solidFill>
              <w14:schemeClr w14:val="tx1"/>
            </w14:solidFill>
          </w14:textFill>
        </w:rPr>
        <w:t>及与相关单位的协调等全面负责</w:t>
      </w:r>
      <w:r>
        <w:rPr>
          <w:rFonts w:hint="eastAsia"/>
          <w:color w:val="000000" w:themeColor="text1"/>
          <w:szCs w:val="21"/>
          <w:u w:val="single"/>
          <w14:textFill>
            <w14:solidFill>
              <w14:schemeClr w14:val="tx1"/>
            </w14:solidFill>
          </w14:textFill>
        </w:rPr>
        <w:t>，最终向甲方提交一个符合招标人要求、具备使用条件并经验收检测达到合格的项目；具体内容详见第五章采购需求。</w:t>
      </w:r>
    </w:p>
    <w:p w14:paraId="28187F07">
      <w:pPr>
        <w:spacing w:line="480" w:lineRule="exact"/>
        <w:ind w:firstLine="420" w:firstLineChars="200"/>
        <w:rPr>
          <w:color w:val="000000" w:themeColor="text1"/>
          <w:szCs w:val="21"/>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招标人保留因政府政策性调整、规划调整、项目范围变更等各类原因对合同内容作调整的权利，中标人须无条件服从招标人的调整。</w:t>
      </w:r>
    </w:p>
    <w:p w14:paraId="4ECDFC45">
      <w:pPr>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5、合同履行期限：</w:t>
      </w:r>
      <w:r>
        <w:rPr>
          <w:rStyle w:val="197"/>
          <w:rFonts w:hint="eastAsia" w:ascii="宋体" w:hAnsi="宋体" w:cs="宋体"/>
          <w:color w:val="000000" w:themeColor="text1"/>
          <w:u w:val="single"/>
          <w:shd w:val="clear" w:color="auto" w:fill="FFFFFF"/>
          <w:lang w:val="en-US" w:eastAsia="zh-CN"/>
          <w14:textFill>
            <w14:solidFill>
              <w14:schemeClr w14:val="tx1"/>
            </w14:solidFill>
          </w14:textFill>
        </w:rPr>
        <w:t>合同签订后</w:t>
      </w:r>
      <w:r>
        <w:rPr>
          <w:rStyle w:val="197"/>
          <w:rFonts w:hint="eastAsia" w:ascii="宋体" w:hAnsi="宋体" w:cs="宋体"/>
          <w:color w:val="000000" w:themeColor="text1"/>
          <w:u w:val="single"/>
          <w:shd w:val="clear" w:color="auto" w:fill="FFFFFF"/>
          <w14:textFill>
            <w14:solidFill>
              <w14:schemeClr w14:val="tx1"/>
            </w14:solidFill>
          </w14:textFill>
        </w:rPr>
        <w:t>，</w:t>
      </w:r>
      <w:r>
        <w:rPr>
          <w:rStyle w:val="197"/>
          <w:rFonts w:hint="eastAsia" w:ascii="宋体" w:hAnsi="宋体" w:cs="宋体"/>
          <w:color w:val="000000" w:themeColor="text1"/>
          <w:u w:val="single"/>
          <w:shd w:val="clear" w:color="auto" w:fill="FFFFFF"/>
          <w:lang w:val="en-US" w:eastAsia="zh-CN"/>
          <w14:textFill>
            <w14:solidFill>
              <w14:schemeClr w14:val="tx1"/>
            </w14:solidFill>
          </w14:textFill>
        </w:rPr>
        <w:t>90</w:t>
      </w:r>
      <w:r>
        <w:rPr>
          <w:rStyle w:val="197"/>
          <w:rFonts w:hint="eastAsia" w:ascii="宋体" w:hAnsi="宋体" w:cs="宋体"/>
          <w:color w:val="000000" w:themeColor="text1"/>
          <w:u w:val="single"/>
          <w:shd w:val="clear" w:color="auto" w:fill="FFFFFF"/>
          <w14:textFill>
            <w14:solidFill>
              <w14:schemeClr w14:val="tx1"/>
            </w14:solidFill>
          </w14:textFill>
        </w:rPr>
        <w:t>日历天</w:t>
      </w:r>
      <w:r>
        <w:rPr>
          <w:rStyle w:val="197"/>
          <w:rFonts w:hint="eastAsia" w:ascii="宋体" w:hAnsi="宋体" w:cs="宋体"/>
          <w:color w:val="000000" w:themeColor="text1"/>
          <w:u w:val="single"/>
          <w:shd w:val="clear" w:color="auto" w:fill="FFFFFF"/>
          <w:lang w:val="en-US" w:eastAsia="zh-CN"/>
          <w14:textFill>
            <w14:solidFill>
              <w14:schemeClr w14:val="tx1"/>
            </w14:solidFill>
          </w14:textFill>
        </w:rPr>
        <w:t>完成平台升级</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u w:val="single"/>
          <w:lang w:val="en-US" w:eastAsia="zh-CN"/>
          <w14:textFill>
            <w14:solidFill>
              <w14:schemeClr w14:val="tx1"/>
            </w14:solidFill>
          </w14:textFill>
        </w:rPr>
        <w:t>运维服务期限2年。</w:t>
      </w:r>
      <w:r>
        <w:rPr>
          <w:rFonts w:hint="eastAsia" w:ascii="宋体" w:hAnsi="宋体" w:cs="宋体"/>
          <w:color w:val="000000" w:themeColor="text1"/>
          <w:szCs w:val="21"/>
          <w:u w:val="single"/>
          <w14:textFill>
            <w14:solidFill>
              <w14:schemeClr w14:val="tx1"/>
            </w14:solidFill>
          </w14:textFill>
        </w:rPr>
        <w:t>为方便投标，投标文件编制时在</w:t>
      </w:r>
      <w:r>
        <w:rPr>
          <w:rFonts w:hint="eastAsia" w:ascii="宋体" w:hAnsi="宋体" w:cs="宋体"/>
          <w:color w:val="000000" w:themeColor="text1"/>
          <w:szCs w:val="21"/>
          <w:u w:val="single"/>
          <w:lang w:val="en-US" w:eastAsia="zh-CN"/>
          <w14:textFill>
            <w14:solidFill>
              <w14:schemeClr w14:val="tx1"/>
            </w14:solidFill>
          </w14:textFill>
        </w:rPr>
        <w:t>投标函</w:t>
      </w:r>
      <w:r>
        <w:rPr>
          <w:rFonts w:hint="eastAsia" w:ascii="宋体" w:hAnsi="宋体" w:cs="宋体"/>
          <w:color w:val="000000" w:themeColor="text1"/>
          <w:szCs w:val="21"/>
          <w:u w:val="single"/>
          <w14:textFill>
            <w14:solidFill>
              <w14:schemeClr w14:val="tx1"/>
            </w14:solidFill>
          </w14:textFill>
        </w:rPr>
        <w:t>中可直接填写“</w:t>
      </w:r>
      <w:r>
        <w:rPr>
          <w:rFonts w:hint="eastAsia" w:ascii="宋体" w:hAnsi="宋体" w:cs="宋体"/>
          <w:color w:val="000000" w:themeColor="text1"/>
          <w:szCs w:val="21"/>
          <w:u w:val="single"/>
          <w:lang w:val="en-US" w:eastAsia="zh-CN"/>
          <w14:textFill>
            <w14:solidFill>
              <w14:schemeClr w14:val="tx1"/>
            </w14:solidFill>
          </w14:textFill>
        </w:rPr>
        <w:t>90</w:t>
      </w:r>
      <w:r>
        <w:rPr>
          <w:rFonts w:hint="eastAsia" w:ascii="宋体" w:hAnsi="宋体" w:cs="宋体"/>
          <w:color w:val="000000" w:themeColor="text1"/>
          <w:szCs w:val="21"/>
          <w:u w:val="single"/>
          <w14:textFill>
            <w14:solidFill>
              <w14:schemeClr w14:val="tx1"/>
            </w14:solidFill>
          </w14:textFill>
        </w:rPr>
        <w:t>日历天”。</w:t>
      </w:r>
    </w:p>
    <w:p w14:paraId="4F53BCE8">
      <w:pPr>
        <w:spacing w:line="48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6、质量要求：</w:t>
      </w:r>
      <w:r>
        <w:rPr>
          <w:rFonts w:hint="eastAsia" w:ascii="宋体" w:hAnsi="宋体" w:cs="宋体"/>
          <w:color w:val="000000" w:themeColor="text1"/>
          <w:szCs w:val="21"/>
          <w:u w:val="single"/>
          <w14:textFill>
            <w14:solidFill>
              <w14:schemeClr w14:val="tx1"/>
            </w14:solidFill>
          </w14:textFill>
        </w:rPr>
        <w:t>相关质量验收规范合格标准，确保通过相关有权部门的审查，所有设备、材料质量等级符合招标文件中技术需求、国家现行的相关规范标准及有关部门最新颁布的相应的最新标准。为方便投标，投标文件编制时在</w:t>
      </w:r>
      <w:r>
        <w:rPr>
          <w:rFonts w:hint="eastAsia" w:ascii="宋体" w:hAnsi="宋体" w:cs="宋体"/>
          <w:color w:val="000000" w:themeColor="text1"/>
          <w:szCs w:val="21"/>
          <w:u w:val="single"/>
          <w:lang w:val="en-US" w:eastAsia="zh-CN"/>
          <w14:textFill>
            <w14:solidFill>
              <w14:schemeClr w14:val="tx1"/>
            </w14:solidFill>
          </w14:textFill>
        </w:rPr>
        <w:t>投标函</w:t>
      </w:r>
      <w:r>
        <w:rPr>
          <w:rFonts w:hint="eastAsia" w:ascii="宋体" w:hAnsi="宋体" w:cs="宋体"/>
          <w:color w:val="000000" w:themeColor="text1"/>
          <w:szCs w:val="21"/>
          <w:u w:val="single"/>
          <w14:textFill>
            <w14:solidFill>
              <w14:schemeClr w14:val="tx1"/>
            </w14:solidFill>
          </w14:textFill>
        </w:rPr>
        <w:t>中可直接填写“合格”。</w:t>
      </w:r>
    </w:p>
    <w:p w14:paraId="5A82E1F4">
      <w:pPr>
        <w:pStyle w:val="19"/>
        <w:spacing w:after="0" w:line="480" w:lineRule="exact"/>
        <w:ind w:firstLine="422" w:firstLineChars="200"/>
        <w:rPr>
          <w:color w:val="000000" w:themeColor="text1"/>
          <w14:textFill>
            <w14:solidFill>
              <w14:schemeClr w14:val="tx1"/>
            </w14:solidFill>
          </w14:textFill>
        </w:rPr>
      </w:pPr>
      <w:r>
        <w:rPr>
          <w:b/>
          <w:bCs/>
          <w:color w:val="000000" w:themeColor="text1"/>
          <w:szCs w:val="21"/>
          <w14:textFill>
            <w14:solidFill>
              <w14:schemeClr w14:val="tx1"/>
            </w14:solidFill>
          </w14:textFill>
        </w:rPr>
        <w:t>二、申请人的资格要求：</w:t>
      </w:r>
    </w:p>
    <w:p w14:paraId="6A232707">
      <w:pPr>
        <w:widowControl/>
        <w:spacing w:line="480" w:lineRule="exact"/>
        <w:ind w:firstLine="420" w:firstLineChars="200"/>
        <w:jc w:val="left"/>
        <w:rPr>
          <w:rFonts w:ascii="宋体" w:hAnsi="宋体" w:cs="宋体"/>
          <w:color w:val="000000" w:themeColor="text1"/>
          <w:kern w:val="0"/>
          <w:szCs w:val="21"/>
          <w:shd w:val="clear" w:color="auto" w:fill="FFFFFF"/>
          <w14:textFill>
            <w14:solidFill>
              <w14:schemeClr w14:val="tx1"/>
            </w14:solidFill>
          </w14:textFill>
        </w:rPr>
      </w:pPr>
      <w:r>
        <w:rPr>
          <w:rFonts w:hint="eastAsia"/>
          <w:color w:val="000000" w:themeColor="text1"/>
          <w:szCs w:val="21"/>
          <w14:textFill>
            <w14:solidFill>
              <w14:schemeClr w14:val="tx1"/>
            </w14:solidFill>
          </w14:textFill>
        </w:rPr>
        <w:t>1、具备与本招标项目相对应的经营资格及供货、售后维修保养能力</w:t>
      </w:r>
      <w:r>
        <w:rPr>
          <w:rFonts w:hint="eastAsia" w:ascii="宋体" w:hAnsi="宋体" w:cs="宋体"/>
          <w:color w:val="000000" w:themeColor="text1"/>
          <w:kern w:val="0"/>
          <w:szCs w:val="21"/>
          <w:shd w:val="clear" w:color="auto" w:fill="FFFFFF"/>
          <w14:textFill>
            <w14:solidFill>
              <w14:schemeClr w14:val="tx1"/>
            </w14:solidFill>
          </w14:textFill>
        </w:rPr>
        <w:t>，具有履行合同所必需的设备和专业技术能力，能按照招标文件要求提供招标项目的货物和服务</w:t>
      </w:r>
      <w:r>
        <w:rPr>
          <w:rFonts w:hint="eastAsia"/>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投标时提供承诺函；</w:t>
      </w:r>
    </w:p>
    <w:p w14:paraId="619D2C21">
      <w:pPr>
        <w:widowControl/>
        <w:shd w:val="clear" w:color="auto" w:fill="FFFFFF"/>
        <w:autoSpaceDE w:val="0"/>
        <w:spacing w:line="480" w:lineRule="exact"/>
        <w:ind w:firstLine="420" w:firstLineChars="200"/>
        <w:jc w:val="left"/>
        <w:rPr>
          <w:rFonts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14:textFill>
            <w14:solidFill>
              <w14:schemeClr w14:val="tx1"/>
            </w14:solidFill>
          </w14:textFill>
        </w:rPr>
        <w:t>2、</w:t>
      </w:r>
      <w:r>
        <w:rPr>
          <w:rFonts w:ascii="宋体" w:hAnsi="宋体" w:cs="宋体"/>
          <w:color w:val="000000" w:themeColor="text1"/>
          <w:kern w:val="0"/>
          <w:szCs w:val="21"/>
          <w:shd w:val="clear" w:color="auto" w:fill="FFFFFF"/>
          <w14:textFill>
            <w14:solidFill>
              <w14:schemeClr w14:val="tx1"/>
            </w14:solidFill>
          </w14:textFill>
        </w:rPr>
        <w:t>未处于被责令停业、投标资格被取消或者财产被接管、冻结和破产状态；</w:t>
      </w:r>
      <w:r>
        <w:rPr>
          <w:rFonts w:hint="eastAsia"/>
          <w:b/>
          <w:bCs/>
          <w:color w:val="000000" w:themeColor="text1"/>
          <w:szCs w:val="21"/>
          <w14:textFill>
            <w14:solidFill>
              <w14:schemeClr w14:val="tx1"/>
            </w14:solidFill>
          </w14:textFill>
        </w:rPr>
        <w:t>投标时提供承诺函；</w:t>
      </w:r>
    </w:p>
    <w:p w14:paraId="65B2E01A">
      <w:pPr>
        <w:widowControl/>
        <w:shd w:val="clear" w:color="auto" w:fill="FFFFFF"/>
        <w:autoSpaceDE w:val="0"/>
        <w:spacing w:line="480" w:lineRule="exact"/>
        <w:ind w:firstLine="420" w:firstLineChars="200"/>
        <w:jc w:val="left"/>
        <w:rPr>
          <w:rFonts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14:textFill>
            <w14:solidFill>
              <w14:schemeClr w14:val="tx1"/>
            </w14:solidFill>
          </w14:textFill>
        </w:rPr>
        <w:t>3、</w:t>
      </w:r>
      <w:r>
        <w:rPr>
          <w:rFonts w:ascii="宋体" w:hAnsi="宋体" w:cs="宋体"/>
          <w:color w:val="000000" w:themeColor="text1"/>
          <w:kern w:val="0"/>
          <w:szCs w:val="21"/>
          <w:shd w:val="clear" w:color="auto" w:fill="FFFFFF"/>
          <w14:textFill>
            <w14:solidFill>
              <w14:schemeClr w14:val="tx1"/>
            </w14:solidFill>
          </w14:textFill>
        </w:rPr>
        <w:t>企业没有因骗取中标或者严重违约以及发生重大质量事故等违法违规问题，被有关部门暂停投标资格并在暂停期内的；</w:t>
      </w:r>
      <w:r>
        <w:rPr>
          <w:rFonts w:hint="eastAsia"/>
          <w:b/>
          <w:bCs/>
          <w:color w:val="000000" w:themeColor="text1"/>
          <w:szCs w:val="21"/>
          <w14:textFill>
            <w14:solidFill>
              <w14:schemeClr w14:val="tx1"/>
            </w14:solidFill>
          </w14:textFill>
        </w:rPr>
        <w:t>投标时提供承诺函；</w:t>
      </w:r>
    </w:p>
    <w:p w14:paraId="7904FAE6">
      <w:pPr>
        <w:widowControl/>
        <w:spacing w:line="480" w:lineRule="exact"/>
        <w:ind w:firstLine="420" w:firstLineChars="200"/>
        <w:jc w:val="left"/>
        <w:rPr>
          <w:rFonts w:ascii="宋体" w:hAnsi="宋体" w:cs="宋体"/>
          <w:color w:val="000000" w:themeColor="text1"/>
          <w:kern w:val="0"/>
          <w:szCs w:val="21"/>
          <w:shd w:val="clear" w:color="auto" w:fill="FFFFFF"/>
          <w14:textFill>
            <w14:solidFill>
              <w14:schemeClr w14:val="tx1"/>
            </w14:solidFill>
          </w14:textFill>
        </w:rPr>
      </w:pPr>
      <w:r>
        <w:rPr>
          <w:rFonts w:hint="eastAsia"/>
          <w:color w:val="000000" w:themeColor="text1"/>
          <w:szCs w:val="21"/>
          <w14:textFill>
            <w14:solidFill>
              <w14:schemeClr w14:val="tx1"/>
            </w14:solidFill>
          </w14:textFill>
        </w:rPr>
        <w:t>4、</w:t>
      </w:r>
      <w:r>
        <w:rPr>
          <w:rFonts w:hint="eastAsia" w:ascii="宋体" w:hAnsi="宋体" w:cs="宋体"/>
          <w:color w:val="000000" w:themeColor="text1"/>
          <w:kern w:val="0"/>
          <w:szCs w:val="21"/>
          <w:shd w:val="clear" w:color="auto" w:fill="FFFFFF"/>
          <w14:textFill>
            <w14:solidFill>
              <w14:schemeClr w14:val="tx1"/>
            </w14:solidFill>
          </w14:textFill>
        </w:rPr>
        <w:t>投标人应保证招标人在使用该采购项目服务或其任何一部分时不受第三方提出侵犯其专利权、版权、商标权和设计权等知识产权的起诉。一旦出现侵权，一律由投标人承担全部责任</w:t>
      </w:r>
      <w:r>
        <w:rPr>
          <w:rFonts w:ascii="宋体" w:hAnsi="宋体" w:cs="宋体"/>
          <w:color w:val="000000" w:themeColor="text1"/>
          <w:kern w:val="0"/>
          <w:szCs w:val="21"/>
          <w:shd w:val="clear" w:color="auto" w:fill="FFFFFF"/>
          <w14:textFill>
            <w14:solidFill>
              <w14:schemeClr w14:val="tx1"/>
            </w14:solidFill>
          </w14:textFill>
        </w:rPr>
        <w:t>；</w:t>
      </w:r>
    </w:p>
    <w:p w14:paraId="4F1A4470">
      <w:pPr>
        <w:widowControl/>
        <w:shd w:val="clear" w:color="auto" w:fill="FFFFFF"/>
        <w:autoSpaceDE w:val="0"/>
        <w:spacing w:line="480" w:lineRule="exact"/>
        <w:ind w:firstLine="420" w:firstLineChars="200"/>
        <w:jc w:val="left"/>
        <w:rPr>
          <w:rFonts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lang w:val="en-US" w:eastAsia="zh-CN"/>
          <w14:textFill>
            <w14:solidFill>
              <w14:schemeClr w14:val="tx1"/>
            </w14:solidFill>
          </w14:textFill>
        </w:rPr>
        <w:t>5</w:t>
      </w:r>
      <w:r>
        <w:rPr>
          <w:rFonts w:hint="eastAsia" w:ascii="宋体" w:hAnsi="宋体" w:cs="宋体"/>
          <w:color w:val="000000" w:themeColor="text1"/>
          <w:kern w:val="0"/>
          <w:szCs w:val="21"/>
          <w:shd w:val="clear" w:color="auto" w:fill="FFFFFF"/>
          <w14:textFill>
            <w14:solidFill>
              <w14:schemeClr w14:val="tx1"/>
            </w14:solidFill>
          </w14:textFill>
        </w:rPr>
        <w:t>、</w:t>
      </w:r>
      <w:r>
        <w:rPr>
          <w:rFonts w:ascii="宋体" w:hAnsi="宋体" w:cs="宋体"/>
          <w:color w:val="000000" w:themeColor="text1"/>
          <w:kern w:val="0"/>
          <w:szCs w:val="21"/>
          <w:shd w:val="clear" w:color="auto" w:fill="FFFFFF"/>
          <w14:textFill>
            <w14:solidFill>
              <w14:schemeClr w14:val="tx1"/>
            </w14:solidFill>
          </w14:textFill>
        </w:rPr>
        <w:t>单位负责人为同一人或者存在控股、管理关系的不同供应商，不得同时参加本项目采购活动</w:t>
      </w:r>
      <w:r>
        <w:rPr>
          <w:rFonts w:hint="eastAsia" w:ascii="宋体" w:hAnsi="宋体" w:cs="宋体"/>
          <w:color w:val="000000" w:themeColor="text1"/>
          <w:kern w:val="0"/>
          <w:szCs w:val="21"/>
          <w:shd w:val="clear" w:color="auto" w:fill="FFFFFF"/>
          <w14:textFill>
            <w14:solidFill>
              <w14:schemeClr w14:val="tx1"/>
            </w14:solidFill>
          </w14:textFill>
        </w:rPr>
        <w:t>，否则相关投标均无效。</w:t>
      </w:r>
    </w:p>
    <w:p w14:paraId="5283B64A">
      <w:pPr>
        <w:widowControl/>
        <w:shd w:val="clear" w:color="auto" w:fill="FFFFFF"/>
        <w:autoSpaceDE w:val="0"/>
        <w:spacing w:line="480" w:lineRule="exact"/>
        <w:ind w:firstLine="420" w:firstLineChars="200"/>
        <w:jc w:val="left"/>
        <w:rPr>
          <w:rFonts w:hint="eastAsia" w:ascii="宋体" w:hAnsi="宋体" w:cs="宋体"/>
          <w:b/>
          <w:bCs/>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lang w:val="en-US" w:eastAsia="zh-CN"/>
          <w14:textFill>
            <w14:solidFill>
              <w14:schemeClr w14:val="tx1"/>
            </w14:solidFill>
          </w14:textFill>
        </w:rPr>
        <w:t>6</w:t>
      </w:r>
      <w:r>
        <w:rPr>
          <w:rFonts w:hint="eastAsia" w:ascii="宋体" w:hAnsi="宋体" w:cs="宋体"/>
          <w:color w:val="000000" w:themeColor="text1"/>
          <w:kern w:val="0"/>
          <w:szCs w:val="21"/>
          <w:shd w:val="clear" w:color="auto" w:fill="FFFFFF"/>
          <w14:textFill>
            <w14:solidFill>
              <w14:schemeClr w14:val="tx1"/>
            </w14:solidFill>
          </w14:textFill>
        </w:rPr>
        <w:t>、在“信用中国”网站（www.creditchina.gov.cn）查询，无被列入失信被执行人、重大税收违法失信主体、政府采购严重违法失信行为记录名单。</w:t>
      </w:r>
      <w:r>
        <w:rPr>
          <w:rFonts w:hint="eastAsia" w:ascii="宋体" w:hAnsi="宋体" w:cs="宋体"/>
          <w:b/>
          <w:bCs/>
          <w:color w:val="000000" w:themeColor="text1"/>
          <w:kern w:val="0"/>
          <w:szCs w:val="21"/>
          <w:shd w:val="clear" w:color="auto" w:fill="FFFFFF"/>
          <w14:textFill>
            <w14:solidFill>
              <w14:schemeClr w14:val="tx1"/>
            </w14:solidFill>
          </w14:textFill>
        </w:rPr>
        <w:t>（投标文件中提供承诺函或官网查询截图）</w:t>
      </w:r>
    </w:p>
    <w:p w14:paraId="4DF450F2">
      <w:pPr>
        <w:widowControl/>
        <w:shd w:val="clear" w:color="auto" w:fill="FFFFFF"/>
        <w:autoSpaceDE w:val="0"/>
        <w:spacing w:line="480" w:lineRule="exact"/>
        <w:ind w:firstLine="420" w:firstLineChars="200"/>
        <w:jc w:val="left"/>
        <w:rPr>
          <w:rFonts w:hint="eastAsia" w:ascii="宋体" w:hAnsi="宋体" w:cs="宋体"/>
          <w:b/>
          <w:bCs/>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lang w:val="en-US" w:eastAsia="zh-CN"/>
          <w14:textFill>
            <w14:solidFill>
              <w14:schemeClr w14:val="tx1"/>
            </w14:solidFill>
          </w14:textFill>
        </w:rPr>
        <w:t>7</w:t>
      </w:r>
      <w:r>
        <w:rPr>
          <w:rFonts w:hint="eastAsia" w:ascii="宋体" w:hAnsi="宋体" w:eastAsia="宋体" w:cs="宋体"/>
          <w:color w:val="000000" w:themeColor="text1"/>
          <w:kern w:val="0"/>
          <w:szCs w:val="21"/>
          <w:shd w:val="clear" w:color="auto" w:fill="FFFFFF"/>
          <w:lang w:val="en-US" w:eastAsia="zh-CN"/>
          <w14:textFill>
            <w14:solidFill>
              <w14:schemeClr w14:val="tx1"/>
            </w14:solidFill>
          </w14:textFill>
        </w:rPr>
        <w:t>、</w:t>
      </w:r>
      <w:r>
        <w:rPr>
          <w:rFonts w:hint="eastAsia" w:ascii="宋体" w:hAnsi="宋体" w:eastAsia="宋体" w:cs="宋体"/>
          <w:color w:val="000000" w:themeColor="text1"/>
          <w:kern w:val="0"/>
          <w:szCs w:val="21"/>
          <w:shd w:val="clear" w:color="auto" w:fill="FFFFFF"/>
          <w14:textFill>
            <w14:solidFill>
              <w14:schemeClr w14:val="tx1"/>
            </w14:solidFill>
          </w14:textFill>
        </w:rPr>
        <w:t>单位负责人为同一人或者存在直接控股、管理关系的不同供应商，不得同时参加本项目采购活动。</w:t>
      </w:r>
    </w:p>
    <w:p w14:paraId="3DC05255">
      <w:pPr>
        <w:widowControl/>
        <w:shd w:val="clear" w:color="auto" w:fill="FFFFFF"/>
        <w:autoSpaceDE w:val="0"/>
        <w:spacing w:line="480" w:lineRule="exact"/>
        <w:ind w:firstLine="420" w:firstLineChars="200"/>
        <w:jc w:val="left"/>
        <w:rPr>
          <w:rFonts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14:textFill>
            <w14:solidFill>
              <w14:schemeClr w14:val="tx1"/>
            </w14:solidFill>
          </w14:textFill>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162351F6">
      <w:pPr>
        <w:widowControl/>
        <w:shd w:val="clear" w:color="auto" w:fill="FFFFFF"/>
        <w:autoSpaceDE w:val="0"/>
        <w:spacing w:line="480" w:lineRule="exact"/>
        <w:ind w:firstLine="420" w:firstLineChars="200"/>
        <w:jc w:val="left"/>
        <w:rPr>
          <w:rFonts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lang w:val="en-US" w:eastAsia="zh-CN"/>
          <w14:textFill>
            <w14:solidFill>
              <w14:schemeClr w14:val="tx1"/>
            </w14:solidFill>
          </w14:textFill>
        </w:rPr>
        <w:t>8</w:t>
      </w:r>
      <w:r>
        <w:rPr>
          <w:rFonts w:hint="eastAsia" w:ascii="宋体" w:hAnsi="宋体" w:cs="宋体"/>
          <w:color w:val="000000" w:themeColor="text1"/>
          <w:kern w:val="0"/>
          <w:szCs w:val="21"/>
          <w:shd w:val="clear" w:color="auto" w:fill="FFFFFF"/>
          <w14:textFill>
            <w14:solidFill>
              <w14:schemeClr w14:val="tx1"/>
            </w14:solidFill>
          </w14:textFill>
        </w:rPr>
        <w:t>、</w:t>
      </w:r>
      <w:r>
        <w:rPr>
          <w:rFonts w:ascii="宋体" w:hAnsi="宋体" w:cs="宋体"/>
          <w:color w:val="000000" w:themeColor="text1"/>
          <w:kern w:val="0"/>
          <w:szCs w:val="21"/>
          <w:shd w:val="clear" w:color="auto" w:fill="FFFFFF"/>
          <w14:textFill>
            <w14:solidFill>
              <w14:schemeClr w14:val="tx1"/>
            </w14:solidFill>
          </w14:textFill>
        </w:rPr>
        <w:t>本次招标</w:t>
      </w:r>
      <w:r>
        <w:rPr>
          <w:rFonts w:hint="eastAsia" w:ascii="宋体" w:hAnsi="宋体" w:cs="宋体"/>
          <w:color w:val="000000" w:themeColor="text1"/>
          <w:kern w:val="0"/>
          <w:szCs w:val="21"/>
          <w:shd w:val="clear" w:color="auto" w:fill="FFFFFF"/>
          <w14:textFill>
            <w14:solidFill>
              <w14:schemeClr w14:val="tx1"/>
            </w14:solidFill>
          </w14:textFill>
        </w:rPr>
        <w:t>不接受</w:t>
      </w:r>
      <w:r>
        <w:rPr>
          <w:rFonts w:ascii="宋体" w:hAnsi="宋体" w:cs="宋体"/>
          <w:color w:val="000000" w:themeColor="text1"/>
          <w:kern w:val="0"/>
          <w:szCs w:val="21"/>
          <w:shd w:val="clear" w:color="auto" w:fill="FFFFFF"/>
          <w14:textFill>
            <w14:solidFill>
              <w14:schemeClr w14:val="tx1"/>
            </w14:solidFill>
          </w14:textFill>
        </w:rPr>
        <w:t>联合体投标；</w:t>
      </w:r>
    </w:p>
    <w:p w14:paraId="365C2740">
      <w:pPr>
        <w:widowControl/>
        <w:spacing w:line="480" w:lineRule="exact"/>
        <w:ind w:firstLine="420" w:firstLineChars="200"/>
        <w:jc w:val="left"/>
        <w:rPr>
          <w:rFonts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lang w:val="en-US" w:eastAsia="zh-CN"/>
          <w14:textFill>
            <w14:solidFill>
              <w14:schemeClr w14:val="tx1"/>
            </w14:solidFill>
          </w14:textFill>
        </w:rPr>
        <w:t>9</w:t>
      </w:r>
      <w:r>
        <w:rPr>
          <w:rFonts w:hint="eastAsia" w:ascii="宋体" w:hAnsi="宋体" w:eastAsia="宋体" w:cs="宋体"/>
          <w:color w:val="000000" w:themeColor="text1"/>
          <w:kern w:val="0"/>
          <w:szCs w:val="21"/>
          <w:shd w:val="clear" w:color="auto" w:fill="FFFFFF"/>
          <w14:textFill>
            <w14:solidFill>
              <w14:schemeClr w14:val="tx1"/>
            </w14:solidFill>
          </w14:textFill>
        </w:rPr>
        <w:t>、</w:t>
      </w:r>
      <w:r>
        <w:rPr>
          <w:rFonts w:ascii="宋体" w:hAnsi="宋体" w:cs="宋体"/>
          <w:color w:val="000000" w:themeColor="text1"/>
          <w:kern w:val="0"/>
          <w:szCs w:val="21"/>
          <w:shd w:val="clear" w:color="auto" w:fill="FFFFFF"/>
          <w14:textFill>
            <w14:solidFill>
              <w14:schemeClr w14:val="tx1"/>
            </w14:solidFill>
          </w14:textFill>
        </w:rPr>
        <w:t>符合相关法律、法规规定的其他要求。</w:t>
      </w:r>
    </w:p>
    <w:p w14:paraId="085A913A">
      <w:pPr>
        <w:widowControl/>
        <w:spacing w:line="480" w:lineRule="exact"/>
        <w:ind w:firstLine="422" w:firstLineChars="200"/>
        <w:jc w:val="left"/>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三、获取招标文件</w:t>
      </w:r>
    </w:p>
    <w:p w14:paraId="158222C8">
      <w:pPr>
        <w:keepNext w:val="0"/>
        <w:keepLines w:val="0"/>
        <w:pageBreakBefore w:val="0"/>
        <w:widowControl/>
        <w:kinsoku/>
        <w:wordWrap w:val="0"/>
        <w:overflowPunct/>
        <w:topLinePunct w:val="0"/>
        <w:autoSpaceDE/>
        <w:autoSpaceDN/>
        <w:bidi w:val="0"/>
        <w:adjustRightInd/>
        <w:snapToGrid/>
        <w:spacing w:line="48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1、请各投标申请人于</w:t>
      </w:r>
      <w:r>
        <w:rPr>
          <w:color w:val="000000" w:themeColor="text1"/>
          <w:szCs w:val="21"/>
          <w:u w:val="single"/>
          <w14:textFill>
            <w14:solidFill>
              <w14:schemeClr w14:val="tx1"/>
            </w14:solidFill>
          </w14:textFill>
        </w:rPr>
        <w:t>202</w:t>
      </w:r>
      <w:r>
        <w:rPr>
          <w:rFonts w:hint="eastAsia"/>
          <w:color w:val="000000" w:themeColor="text1"/>
          <w:szCs w:val="21"/>
          <w:u w:val="single"/>
          <w:lang w:val="en-US" w:eastAsia="zh-CN"/>
          <w14:textFill>
            <w14:solidFill>
              <w14:schemeClr w14:val="tx1"/>
            </w14:solidFill>
          </w14:textFill>
        </w:rPr>
        <w:t>5</w:t>
      </w:r>
      <w:r>
        <w:rPr>
          <w:color w:val="000000" w:themeColor="text1"/>
          <w:szCs w:val="21"/>
          <w:u w:val="none"/>
          <w14:textFill>
            <w14:solidFill>
              <w14:schemeClr w14:val="tx1"/>
            </w14:solidFill>
          </w14:textFill>
        </w:rPr>
        <w:t>年</w:t>
      </w:r>
      <w:r>
        <w:rPr>
          <w:rFonts w:hint="eastAsia"/>
          <w:color w:val="000000" w:themeColor="text1"/>
          <w:szCs w:val="21"/>
          <w:u w:val="single"/>
          <w:lang w:val="en-US" w:eastAsia="zh-CN"/>
          <w14:textFill>
            <w14:solidFill>
              <w14:schemeClr w14:val="tx1"/>
            </w14:solidFill>
          </w14:textFill>
        </w:rPr>
        <w:t xml:space="preserve"> 8</w:t>
      </w:r>
      <w:r>
        <w:rPr>
          <w:color w:val="000000" w:themeColor="text1"/>
          <w:szCs w:val="21"/>
          <w14:textFill>
            <w14:solidFill>
              <w14:schemeClr w14:val="tx1"/>
            </w14:solidFill>
          </w14:textFill>
        </w:rPr>
        <w:t>月</w:t>
      </w:r>
      <w:r>
        <w:rPr>
          <w:rFonts w:hint="eastAsia"/>
          <w:color w:val="000000" w:themeColor="text1"/>
          <w:szCs w:val="21"/>
          <w:u w:val="single"/>
          <w:lang w:val="en-US" w:eastAsia="zh-CN"/>
          <w14:textFill>
            <w14:solidFill>
              <w14:schemeClr w14:val="tx1"/>
            </w14:solidFill>
          </w14:textFill>
        </w:rPr>
        <w:t xml:space="preserve"> 14</w:t>
      </w:r>
      <w:r>
        <w:rPr>
          <w:color w:val="000000" w:themeColor="text1"/>
          <w:szCs w:val="21"/>
          <w14:textFill>
            <w14:solidFill>
              <w14:schemeClr w14:val="tx1"/>
            </w14:solidFill>
          </w14:textFill>
        </w:rPr>
        <w:t>日至</w:t>
      </w:r>
      <w:r>
        <w:rPr>
          <w:color w:val="000000" w:themeColor="text1"/>
          <w:szCs w:val="21"/>
          <w:u w:val="single"/>
          <w14:textFill>
            <w14:solidFill>
              <w14:schemeClr w14:val="tx1"/>
            </w14:solidFill>
          </w14:textFill>
        </w:rPr>
        <w:t>202</w:t>
      </w:r>
      <w:r>
        <w:rPr>
          <w:rFonts w:hint="eastAsia"/>
          <w:color w:val="000000" w:themeColor="text1"/>
          <w:szCs w:val="21"/>
          <w:u w:val="single"/>
          <w:lang w:val="en-US" w:eastAsia="zh-CN"/>
          <w14:textFill>
            <w14:solidFill>
              <w14:schemeClr w14:val="tx1"/>
            </w14:solidFill>
          </w14:textFill>
        </w:rPr>
        <w:t>5</w:t>
      </w:r>
      <w:r>
        <w:rPr>
          <w:color w:val="000000" w:themeColor="text1"/>
          <w:szCs w:val="21"/>
          <w:u w:val="none"/>
          <w14:textFill>
            <w14:solidFill>
              <w14:schemeClr w14:val="tx1"/>
            </w14:solidFill>
          </w14:textFill>
        </w:rPr>
        <w:t>年</w:t>
      </w:r>
      <w:r>
        <w:rPr>
          <w:rFonts w:hint="eastAsia"/>
          <w:color w:val="000000" w:themeColor="text1"/>
          <w:szCs w:val="21"/>
          <w:u w:val="single"/>
          <w:lang w:val="en-US" w:eastAsia="zh-CN"/>
          <w14:textFill>
            <w14:solidFill>
              <w14:schemeClr w14:val="tx1"/>
            </w14:solidFill>
          </w14:textFill>
        </w:rPr>
        <w:t xml:space="preserve"> 8</w:t>
      </w:r>
      <w:r>
        <w:rPr>
          <w:color w:val="000000" w:themeColor="text1"/>
          <w:szCs w:val="21"/>
          <w14:textFill>
            <w14:solidFill>
              <w14:schemeClr w14:val="tx1"/>
            </w14:solidFill>
          </w14:textFill>
        </w:rPr>
        <w:t>月</w:t>
      </w:r>
      <w:r>
        <w:rPr>
          <w:rFonts w:hint="eastAsia"/>
          <w:color w:val="000000" w:themeColor="text1"/>
          <w:szCs w:val="21"/>
          <w:u w:val="single"/>
          <w:lang w:val="en-US" w:eastAsia="zh-CN"/>
          <w14:textFill>
            <w14:solidFill>
              <w14:schemeClr w14:val="tx1"/>
            </w14:solidFill>
          </w14:textFill>
        </w:rPr>
        <w:t xml:space="preserve"> 21</w:t>
      </w:r>
      <w:r>
        <w:rPr>
          <w:color w:val="000000" w:themeColor="text1"/>
          <w:szCs w:val="21"/>
          <w14:textFill>
            <w14:solidFill>
              <w14:schemeClr w14:val="tx1"/>
            </w14:solidFill>
          </w14:textFill>
        </w:rPr>
        <w:t>日登入“新点电子交易平台-大丰采购系统”（网址：https://www.etrading.cn/BREpointSSO/login/oauth2login）</w:t>
      </w:r>
      <w:r>
        <w:rPr>
          <w:rFonts w:hint="eastAsia"/>
          <w:color w:val="000000" w:themeColor="text1"/>
          <w:szCs w:val="21"/>
          <w14:textFill>
            <w14:solidFill>
              <w14:schemeClr w14:val="tx1"/>
            </w14:solidFill>
          </w14:textFill>
        </w:rPr>
        <w:t>免费</w:t>
      </w:r>
      <w:r>
        <w:rPr>
          <w:color w:val="000000" w:themeColor="text1"/>
          <w:szCs w:val="21"/>
          <w14:textFill>
            <w14:solidFill>
              <w14:schemeClr w14:val="tx1"/>
            </w14:solidFill>
          </w14:textFill>
        </w:rPr>
        <w:t>下载招标文件，如在规定时间内未下载招标文件，由此引起的无法投标等情形的，责任自负。</w:t>
      </w:r>
    </w:p>
    <w:p w14:paraId="3C7D1BC9">
      <w:pPr>
        <w:keepNext w:val="0"/>
        <w:keepLines w:val="0"/>
        <w:pageBreakBefore w:val="0"/>
        <w:widowControl/>
        <w:kinsoku/>
        <w:wordWrap w:val="0"/>
        <w:overflowPunct/>
        <w:topLinePunct w:val="0"/>
        <w:autoSpaceDE/>
        <w:autoSpaceDN/>
        <w:bidi w:val="0"/>
        <w:adjustRightInd/>
        <w:snapToGrid/>
        <w:spacing w:line="48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2、招标文件获取方式：各潜在投标人（供应商）使用“CA数字证书（CA锁）”或“账号密码”登录“新点电子交易平台-大丰采购系统（网址：https://www.etrading.cn/BREpointSSO/login/oauth2login）”获取。办理CA数字证书（CA锁）以及电子签章相关事宜见（http://dfggzy.com/dfweb/infodetail/?infoid=9c34520d-979a-4630-a939-9b3fbd2253db&amp;categoryNum=029）”。</w:t>
      </w:r>
    </w:p>
    <w:p w14:paraId="269FD2A6">
      <w:pPr>
        <w:keepNext w:val="0"/>
        <w:keepLines w:val="0"/>
        <w:pageBreakBefore w:val="0"/>
        <w:kinsoku/>
        <w:wordWrap w:val="0"/>
        <w:overflowPunct/>
        <w:topLinePunct w:val="0"/>
        <w:autoSpaceDE/>
        <w:autoSpaceDN/>
        <w:bidi w:val="0"/>
        <w:adjustRightInd/>
        <w:snapToGrid/>
        <w:spacing w:line="480" w:lineRule="exact"/>
        <w:ind w:firstLine="420" w:firstLineChars="200"/>
        <w:jc w:val="left"/>
        <w:textAlignment w:val="auto"/>
        <w:rPr>
          <w:color w:val="000000" w:themeColor="text1"/>
          <w:szCs w:val="21"/>
          <w:highlight w:val="red"/>
          <w:u w:val="single"/>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各潜在投标人（供应商）可登录大丰公共资源电子交易平台-点击查看“招投标常见问题”-点击“【投标人】怎么参与大丰政府采购全程电子化项目（http://dfggzy.com/dfweb/infodetail/?infoid=9c34520d-979a-4630-a939-9b3fbd2253db&amp;categoryNum=029）”，或者工作时间拨打4009280095-5，或者加入QQ群（问题解决群）：384422310，或者工作时间拨打招标代理电话：</w:t>
      </w:r>
      <w:r>
        <w:rPr>
          <w:rFonts w:hint="eastAsia"/>
          <w:color w:val="000000" w:themeColor="text1"/>
          <w:szCs w:val="21"/>
          <w:u w:val="single"/>
          <w:lang w:val="en-US" w:eastAsia="zh-CN"/>
          <w14:textFill>
            <w14:solidFill>
              <w14:schemeClr w14:val="tx1"/>
            </w14:solidFill>
          </w14:textFill>
        </w:rPr>
        <w:t>18061413668</w:t>
      </w:r>
      <w:r>
        <w:rPr>
          <w:color w:val="000000" w:themeColor="text1"/>
          <w:szCs w:val="21"/>
          <w:u w:val="single"/>
          <w14:textFill>
            <w14:solidFill>
              <w14:schemeClr w14:val="tx1"/>
            </w14:solidFill>
          </w14:textFill>
        </w:rPr>
        <w:t>。</w:t>
      </w:r>
    </w:p>
    <w:p w14:paraId="5C6101F8">
      <w:pPr>
        <w:widowControl/>
        <w:spacing w:line="480" w:lineRule="exact"/>
        <w:ind w:firstLine="422" w:firstLineChars="200"/>
        <w:jc w:val="lef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四、提交投标文件截止时间、开标时间、地点</w:t>
      </w:r>
    </w:p>
    <w:p w14:paraId="109574DE">
      <w:pPr>
        <w:widowControl/>
        <w:spacing w:line="480" w:lineRule="exac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1、提交投标文件截止时间：</w:t>
      </w:r>
      <w:r>
        <w:rPr>
          <w:color w:val="000000" w:themeColor="text1"/>
          <w:szCs w:val="21"/>
          <w:u w:val="single"/>
          <w14:textFill>
            <w14:solidFill>
              <w14:schemeClr w14:val="tx1"/>
            </w14:solidFill>
          </w14:textFill>
        </w:rPr>
        <w:t>202</w:t>
      </w:r>
      <w:r>
        <w:rPr>
          <w:rFonts w:hint="eastAsia"/>
          <w:color w:val="000000" w:themeColor="text1"/>
          <w:szCs w:val="21"/>
          <w:u w:val="single"/>
          <w:lang w:val="en-US" w:eastAsia="zh-CN"/>
          <w14:textFill>
            <w14:solidFill>
              <w14:schemeClr w14:val="tx1"/>
            </w14:solidFill>
          </w14:textFill>
        </w:rPr>
        <w:t>5</w:t>
      </w:r>
      <w:r>
        <w:rPr>
          <w:color w:val="000000" w:themeColor="text1"/>
          <w:szCs w:val="21"/>
          <w:u w:val="none"/>
          <w14:textFill>
            <w14:solidFill>
              <w14:schemeClr w14:val="tx1"/>
            </w14:solidFill>
          </w14:textFill>
        </w:rPr>
        <w:t>年</w:t>
      </w:r>
      <w:r>
        <w:rPr>
          <w:rFonts w:hint="eastAsia"/>
          <w:color w:val="000000" w:themeColor="text1"/>
          <w:szCs w:val="21"/>
          <w:u w:val="single"/>
          <w:lang w:val="en-US" w:eastAsia="zh-CN"/>
          <w14:textFill>
            <w14:solidFill>
              <w14:schemeClr w14:val="tx1"/>
            </w14:solidFill>
          </w14:textFill>
        </w:rPr>
        <w:t xml:space="preserve"> 9</w:t>
      </w:r>
      <w:r>
        <w:rPr>
          <w:color w:val="000000" w:themeColor="text1"/>
          <w:szCs w:val="21"/>
          <w14:textFill>
            <w14:solidFill>
              <w14:schemeClr w14:val="tx1"/>
            </w14:solidFill>
          </w14:textFill>
        </w:rPr>
        <w:t>月</w:t>
      </w:r>
      <w:r>
        <w:rPr>
          <w:rFonts w:hint="eastAsia"/>
          <w:color w:val="000000" w:themeColor="text1"/>
          <w:szCs w:val="21"/>
          <w:u w:val="single"/>
          <w:lang w:val="en-US" w:eastAsia="zh-CN"/>
          <w14:textFill>
            <w14:solidFill>
              <w14:schemeClr w14:val="tx1"/>
            </w14:solidFill>
          </w14:textFill>
        </w:rPr>
        <w:t xml:space="preserve"> 4</w:t>
      </w:r>
      <w:r>
        <w:rPr>
          <w:color w:val="000000" w:themeColor="text1"/>
          <w:szCs w:val="21"/>
          <w14:textFill>
            <w14:solidFill>
              <w14:schemeClr w14:val="tx1"/>
            </w14:solidFill>
          </w14:textFill>
        </w:rPr>
        <w:t>日</w:t>
      </w:r>
      <w:r>
        <w:rPr>
          <w:rFonts w:hint="eastAsia"/>
          <w:color w:val="000000" w:themeColor="text1"/>
          <w:szCs w:val="21"/>
          <w:u w:val="single"/>
          <w:lang w:val="en-US" w:eastAsia="zh-CN"/>
          <w14:textFill>
            <w14:solidFill>
              <w14:schemeClr w14:val="tx1"/>
            </w14:solidFill>
          </w14:textFill>
        </w:rPr>
        <w:t>9</w:t>
      </w:r>
      <w:r>
        <w:rPr>
          <w:color w:val="000000" w:themeColor="text1"/>
          <w:szCs w:val="21"/>
          <w14:textFill>
            <w14:solidFill>
              <w14:schemeClr w14:val="tx1"/>
            </w14:solidFill>
          </w14:textFill>
        </w:rPr>
        <w:t>时</w:t>
      </w:r>
      <w:r>
        <w:rPr>
          <w:rFonts w:hint="eastAsia"/>
          <w:color w:val="000000" w:themeColor="text1"/>
          <w:szCs w:val="21"/>
          <w:u w:val="single"/>
          <w:lang w:val="en-US" w:eastAsia="zh-CN"/>
          <w14:textFill>
            <w14:solidFill>
              <w14:schemeClr w14:val="tx1"/>
            </w14:solidFill>
          </w14:textFill>
        </w:rPr>
        <w:t>00</w:t>
      </w:r>
      <w:r>
        <w:rPr>
          <w:color w:val="000000" w:themeColor="text1"/>
          <w:szCs w:val="21"/>
          <w14:textFill>
            <w14:solidFill>
              <w14:schemeClr w14:val="tx1"/>
            </w14:solidFill>
          </w14:textFill>
        </w:rPr>
        <w:t>分</w:t>
      </w:r>
      <w:r>
        <w:rPr>
          <w:color w:val="000000" w:themeColor="text1"/>
          <w:szCs w:val="21"/>
          <w:u w:val="single"/>
          <w14:textFill>
            <w14:solidFill>
              <w14:schemeClr w14:val="tx1"/>
            </w14:solidFill>
          </w14:textFill>
        </w:rPr>
        <w:t>00</w:t>
      </w:r>
      <w:r>
        <w:rPr>
          <w:color w:val="000000" w:themeColor="text1"/>
          <w:szCs w:val="21"/>
          <w14:textFill>
            <w14:solidFill>
              <w14:schemeClr w14:val="tx1"/>
            </w14:solidFill>
          </w14:textFill>
        </w:rPr>
        <w:t>秒。</w:t>
      </w:r>
    </w:p>
    <w:p w14:paraId="50B12018">
      <w:pPr>
        <w:widowControl/>
        <w:spacing w:line="480" w:lineRule="exact"/>
        <w:ind w:firstLine="420" w:firstLineChars="200"/>
        <w:jc w:val="lef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2、提交投标文件的地点：“投标文件制作工具”生成的xetf格式的电子档上传至新点电子交易平台-大丰采购系统（网址：https://www.etrading.cn/BREpointSSO/login/oauth2login）。</w:t>
      </w:r>
    </w:p>
    <w:p w14:paraId="36292272">
      <w:pPr>
        <w:widowControl/>
        <w:spacing w:line="480" w:lineRule="exac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3、逾期提交的投标文件将被拒收并退回。</w:t>
      </w:r>
    </w:p>
    <w:p w14:paraId="631B2E34">
      <w:pPr>
        <w:widowControl/>
        <w:spacing w:line="480" w:lineRule="exac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4、开标时间：投标文件提交截止时间。</w:t>
      </w:r>
    </w:p>
    <w:p w14:paraId="24C862F9">
      <w:pPr>
        <w:spacing w:line="480" w:lineRule="exact"/>
        <w:ind w:firstLine="420" w:firstLineChars="200"/>
        <w:jc w:val="left"/>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t>5、开标地点：本项目实行不见面开标，各投标人（供应商）的授权委托人或</w:t>
      </w:r>
      <w:r>
        <w:rPr>
          <w:rFonts w:hint="eastAsia"/>
          <w:color w:val="000000" w:themeColor="text1"/>
          <w:szCs w:val="21"/>
          <w14:textFill>
            <w14:solidFill>
              <w14:schemeClr w14:val="tx1"/>
            </w14:solidFill>
          </w14:textFill>
        </w:rPr>
        <w:t>法定代表人</w:t>
      </w:r>
      <w:r>
        <w:rPr>
          <w:color w:val="000000" w:themeColor="text1"/>
          <w:szCs w:val="21"/>
          <w14:textFill>
            <w14:solidFill>
              <w14:schemeClr w14:val="tx1"/>
            </w14:solidFill>
          </w14:textFill>
        </w:rPr>
        <w:t>应在投标文件提交截止时间前提前登入“开标大厅系统”（步骤：登入-投标人-CA登录-江苏省CA），到达投标文件提交截止时间后，首先进入开标程序中的投标文件解密会议，然后按系统提示完成投标文件解密。网址为http://js.etrading.cn/EpointBidOpening/bidopeninghallaction/hall/login。投标人未按时完成投标文件解密或解密未成功的，均被视为投标人放弃本次投标（无效投标）。解密完成后投标人可自行决定是否继续参加开（唱）标会议，投标人未参加开标的，视同认可开标结果。</w:t>
      </w:r>
    </w:p>
    <w:p w14:paraId="3689BB61">
      <w:pPr>
        <w:spacing w:line="480" w:lineRule="exact"/>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五、公告期限</w:t>
      </w:r>
    </w:p>
    <w:p w14:paraId="5CE658AB">
      <w:pPr>
        <w:spacing w:line="480" w:lineRule="exact"/>
        <w:ind w:firstLine="420" w:firstLineChars="200"/>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t>自本公告发布之日起5个工作日。</w:t>
      </w:r>
    </w:p>
    <w:bookmarkEnd w:id="6"/>
    <w:bookmarkEnd w:id="7"/>
    <w:bookmarkEnd w:id="8"/>
    <w:bookmarkEnd w:id="9"/>
    <w:bookmarkEnd w:id="10"/>
    <w:p w14:paraId="0BE48F8F">
      <w:pPr>
        <w:widowControl/>
        <w:spacing w:line="480" w:lineRule="exact"/>
        <w:ind w:firstLine="422" w:firstLineChars="200"/>
        <w:jc w:val="left"/>
        <w:rPr>
          <w:b/>
          <w:bCs/>
          <w:color w:val="000000" w:themeColor="text1"/>
          <w:szCs w:val="21"/>
          <w14:textFill>
            <w14:solidFill>
              <w14:schemeClr w14:val="tx1"/>
            </w14:solidFill>
          </w14:textFill>
        </w:rPr>
      </w:pPr>
      <w:bookmarkStart w:id="17" w:name="_Toc387526281"/>
      <w:bookmarkStart w:id="18" w:name="_Toc368759512"/>
      <w:bookmarkStart w:id="19" w:name="_Toc184635069"/>
      <w:bookmarkStart w:id="20" w:name="_Toc397928547"/>
      <w:bookmarkStart w:id="21" w:name="_Toc6770"/>
      <w:bookmarkStart w:id="22" w:name="_Toc369077558"/>
      <w:bookmarkStart w:id="23" w:name="_Toc363326679"/>
      <w:bookmarkStart w:id="24" w:name="_Toc387526177"/>
      <w:bookmarkStart w:id="25" w:name="_Toc387526373"/>
      <w:r>
        <w:rPr>
          <w:b/>
          <w:bCs/>
          <w:color w:val="000000" w:themeColor="text1"/>
          <w:szCs w:val="21"/>
          <w14:textFill>
            <w14:solidFill>
              <w14:schemeClr w14:val="tx1"/>
            </w14:solidFill>
          </w14:textFill>
        </w:rPr>
        <w:t>六、其他补充事宜</w:t>
      </w:r>
    </w:p>
    <w:p w14:paraId="5A6428F4">
      <w:pPr>
        <w:widowControl/>
        <w:spacing w:line="480" w:lineRule="exac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1、本项目对投标申请人的资格审查采用资格后审方式，由评标委员会根据招标文件进行评定；报名时不进行报名资料的任何审查，由意向投标人自行判断是否符合投标资格。</w:t>
      </w:r>
    </w:p>
    <w:p w14:paraId="4F8407D5">
      <w:pPr>
        <w:widowControl/>
        <w:spacing w:line="480" w:lineRule="exac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2、本招标项目采用的评标方法：综合评分法。</w:t>
      </w:r>
    </w:p>
    <w:p w14:paraId="172D6580">
      <w:pPr>
        <w:widowControl/>
        <w:spacing w:line="480" w:lineRule="exac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3、本招标项目招标公告发布媒介：大丰公共资源电子交易平台（http://ggzy.dafeng.gov.cn/dfweb/）。</w:t>
      </w:r>
    </w:p>
    <w:p w14:paraId="439BA14A">
      <w:pPr>
        <w:spacing w:line="4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4、投标前请关注“大丰公共资源电子交易平台”的“政府采购”—“答疑补充”栏目。及时了解到项目的“答疑补充”等情况。</w:t>
      </w:r>
    </w:p>
    <w:p w14:paraId="448759CA">
      <w:pPr>
        <w:spacing w:line="480" w:lineRule="exact"/>
        <w:ind w:firstLine="420" w:firstLineChars="200"/>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t>5、本项目采用全程电子化及不见面开标模式。本项目实行不见面开标，各投标人（供应商）的授权委托人或</w:t>
      </w:r>
      <w:r>
        <w:rPr>
          <w:rFonts w:hint="eastAsia"/>
          <w:color w:val="000000" w:themeColor="text1"/>
          <w:szCs w:val="21"/>
          <w14:textFill>
            <w14:solidFill>
              <w14:schemeClr w14:val="tx1"/>
            </w14:solidFill>
          </w14:textFill>
        </w:rPr>
        <w:t>法定代表人</w:t>
      </w:r>
      <w:r>
        <w:rPr>
          <w:color w:val="000000" w:themeColor="text1"/>
          <w:szCs w:val="21"/>
          <w14:textFill>
            <w14:solidFill>
              <w14:schemeClr w14:val="tx1"/>
            </w14:solidFill>
          </w14:textFill>
        </w:rPr>
        <w:t>应在投标文件提交截止时间前提前登入“开标大厅系统”（步骤：登入-投标人-CA登录-江苏省CA），到达投标文件提交截止时间后，首先进入开标程序中的投标文件解密会议，然后按系统提示完成投标文件解密。投标人未按时完成投标文件解密或解密未成功的，均被视为投标人放弃本次投标（无效投标）。因投标人自身设备故障或自身原因导致无法完成投标的，对其形成的不利后果及责任由投标人自行承担。解密完成后，投标人可自行决定是否继续参加开（唱）标会议，投标人未参加开标的，视同认可开标结果。</w:t>
      </w:r>
    </w:p>
    <w:p w14:paraId="178C8648">
      <w:pPr>
        <w:spacing w:line="480" w:lineRule="exact"/>
        <w:ind w:firstLine="422" w:firstLineChars="200"/>
        <w:jc w:val="lef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6、开标大厅系统网址为：http://js.etrading.cn/EpointBidOpening/bidopeninghallaction/hall/login。</w:t>
      </w:r>
    </w:p>
    <w:p w14:paraId="05084137">
      <w:pPr>
        <w:spacing w:line="48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七、投标保证金</w:t>
      </w:r>
    </w:p>
    <w:p w14:paraId="28BA9248">
      <w:pPr>
        <w:spacing w:line="480" w:lineRule="exact"/>
        <w:ind w:firstLine="420" w:firstLineChars="200"/>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本项目不需要缴纳投标保证金。</w:t>
      </w:r>
    </w:p>
    <w:p w14:paraId="188A8995">
      <w:pPr>
        <w:spacing w:line="480" w:lineRule="exact"/>
        <w:ind w:firstLine="422" w:firstLineChars="200"/>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八</w:t>
      </w:r>
      <w:r>
        <w:rPr>
          <w:b/>
          <w:bCs/>
          <w:color w:val="000000" w:themeColor="text1"/>
          <w:szCs w:val="21"/>
          <w14:textFill>
            <w14:solidFill>
              <w14:schemeClr w14:val="tx1"/>
            </w14:solidFill>
          </w14:textFill>
        </w:rPr>
        <w:t>、投标人在诚信库中录入的所有信息均应合法真实有效，并应在投标文件提交截止时间前完成诚信库信息的及时更新、完善，采购人或评标委员会将按照投标文件提交截止时间前的现状信息予以审查或评审，如投标人未及时更新和完善的，对其形成不利的后果及责任由投标人自行承担。投标人录入诚信库提交的信息如有虚假或其他违法违规情形的，将有可能面临被列为失信行为的风险并承担相应的法律责任。</w:t>
      </w:r>
    </w:p>
    <w:p w14:paraId="15CCE02A">
      <w:pPr>
        <w:widowControl/>
        <w:spacing w:line="480" w:lineRule="exact"/>
        <w:ind w:firstLine="422" w:firstLineChars="200"/>
        <w:jc w:val="left"/>
        <w:rPr>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九</w:t>
      </w:r>
      <w:r>
        <w:rPr>
          <w:b/>
          <w:bCs/>
          <w:color w:val="000000" w:themeColor="text1"/>
          <w:szCs w:val="21"/>
          <w14:textFill>
            <w14:solidFill>
              <w14:schemeClr w14:val="tx1"/>
            </w14:solidFill>
          </w14:textFill>
        </w:rPr>
        <w:t>、对本次招标提出询问，请按以下方式联系。</w:t>
      </w:r>
    </w:p>
    <w:bookmarkEnd w:id="11"/>
    <w:bookmarkEnd w:id="12"/>
    <w:bookmarkEnd w:id="13"/>
    <w:p w14:paraId="6FC06639">
      <w:pPr>
        <w:autoSpaceDE w:val="0"/>
        <w:autoSpaceDN w:val="0"/>
        <w:spacing w:line="480" w:lineRule="exact"/>
        <w:ind w:firstLine="420" w:firstLineChars="200"/>
        <w:jc w:val="left"/>
        <w:rPr>
          <w:color w:val="000000" w:themeColor="text1"/>
          <w:kern w:val="0"/>
          <w:szCs w:val="21"/>
          <w:lang w:val="zh-CN"/>
          <w14:textFill>
            <w14:solidFill>
              <w14:schemeClr w14:val="tx1"/>
            </w14:solidFill>
          </w14:textFill>
        </w:rPr>
      </w:pPr>
      <w:bookmarkStart w:id="26" w:name="_Toc508216878"/>
      <w:r>
        <w:rPr>
          <w:color w:val="000000" w:themeColor="text1"/>
          <w:kern w:val="0"/>
          <w:szCs w:val="21"/>
          <w:lang w:val="zh-CN"/>
          <w14:textFill>
            <w14:solidFill>
              <w14:schemeClr w14:val="tx1"/>
            </w14:solidFill>
          </w14:textFill>
        </w:rPr>
        <w:t>1.</w:t>
      </w:r>
      <w:r>
        <w:rPr>
          <w:rFonts w:hint="eastAsia"/>
          <w:color w:val="000000" w:themeColor="text1"/>
          <w:kern w:val="0"/>
          <w:szCs w:val="21"/>
          <w14:textFill>
            <w14:solidFill>
              <w14:schemeClr w14:val="tx1"/>
            </w14:solidFill>
          </w14:textFill>
        </w:rPr>
        <w:t>采购</w:t>
      </w:r>
      <w:r>
        <w:rPr>
          <w:color w:val="000000" w:themeColor="text1"/>
          <w:kern w:val="0"/>
          <w:szCs w:val="21"/>
          <w:lang w:val="zh-CN"/>
          <w14:textFill>
            <w14:solidFill>
              <w14:schemeClr w14:val="tx1"/>
            </w14:solidFill>
          </w14:textFill>
        </w:rPr>
        <w:t>人信息</w:t>
      </w:r>
    </w:p>
    <w:p w14:paraId="431E9709">
      <w:pPr>
        <w:autoSpaceDE w:val="0"/>
        <w:autoSpaceDN w:val="0"/>
        <w:spacing w:line="480" w:lineRule="exact"/>
        <w:ind w:firstLine="420" w:firstLineChars="200"/>
        <w:jc w:val="left"/>
        <w:rPr>
          <w:rFonts w:hint="eastAsia" w:eastAsia="宋体"/>
          <w:color w:val="000000" w:themeColor="text1"/>
          <w:kern w:val="0"/>
          <w:szCs w:val="21"/>
          <w:lang w:val="zh-CN" w:eastAsia="zh-CN"/>
          <w14:textFill>
            <w14:solidFill>
              <w14:schemeClr w14:val="tx1"/>
            </w14:solidFill>
          </w14:textFill>
        </w:rPr>
      </w:pPr>
      <w:r>
        <w:rPr>
          <w:color w:val="000000" w:themeColor="text1"/>
          <w:kern w:val="0"/>
          <w:szCs w:val="21"/>
          <w:lang w:val="zh-CN"/>
          <w14:textFill>
            <w14:solidFill>
              <w14:schemeClr w14:val="tx1"/>
            </w14:solidFill>
          </w14:textFill>
        </w:rPr>
        <w:t>名称：</w:t>
      </w:r>
      <w:r>
        <w:rPr>
          <w:rFonts w:hint="eastAsia"/>
          <w:color w:val="000000" w:themeColor="text1"/>
          <w:kern w:val="0"/>
          <w:szCs w:val="21"/>
          <w:u w:val="single"/>
          <w:lang w:eastAsia="zh-CN"/>
          <w14:textFill>
            <w14:solidFill>
              <w14:schemeClr w14:val="tx1"/>
            </w14:solidFill>
          </w14:textFill>
        </w:rPr>
        <w:t>盐城市大丰区城镇净水有限公司</w:t>
      </w:r>
    </w:p>
    <w:p w14:paraId="079517B4">
      <w:pPr>
        <w:autoSpaceDE w:val="0"/>
        <w:autoSpaceDN w:val="0"/>
        <w:spacing w:line="480" w:lineRule="exact"/>
        <w:ind w:firstLine="420" w:firstLineChars="200"/>
        <w:jc w:val="left"/>
        <w:rPr>
          <w:color w:val="000000" w:themeColor="text1"/>
          <w:kern w:val="0"/>
          <w:szCs w:val="21"/>
          <w:u w:val="single"/>
          <w14:textFill>
            <w14:solidFill>
              <w14:schemeClr w14:val="tx1"/>
            </w14:solidFill>
          </w14:textFill>
        </w:rPr>
      </w:pPr>
      <w:r>
        <w:rPr>
          <w:color w:val="000000" w:themeColor="text1"/>
          <w:kern w:val="0"/>
          <w:szCs w:val="21"/>
          <w:lang w:val="zh-CN"/>
          <w14:textFill>
            <w14:solidFill>
              <w14:schemeClr w14:val="tx1"/>
            </w14:solidFill>
          </w14:textFill>
        </w:rPr>
        <w:t>地址：</w:t>
      </w:r>
      <w:r>
        <w:rPr>
          <w:rFonts w:hint="eastAsia"/>
          <w:color w:val="000000" w:themeColor="text1"/>
          <w:kern w:val="0"/>
          <w:szCs w:val="21"/>
          <w:u w:val="single"/>
          <w14:textFill>
            <w14:solidFill>
              <w14:schemeClr w14:val="tx1"/>
            </w14:solidFill>
          </w14:textFill>
        </w:rPr>
        <w:t>盐城市大丰区飞达东路7号</w:t>
      </w:r>
    </w:p>
    <w:p w14:paraId="7DBB0949">
      <w:pPr>
        <w:autoSpaceDE w:val="0"/>
        <w:autoSpaceDN w:val="0"/>
        <w:spacing w:line="480" w:lineRule="exact"/>
        <w:ind w:firstLine="420" w:firstLineChars="200"/>
        <w:jc w:val="left"/>
        <w:rPr>
          <w:rFonts w:hint="eastAsia" w:eastAsia="宋体"/>
          <w:color w:val="000000" w:themeColor="text1"/>
          <w:kern w:val="0"/>
          <w:szCs w:val="21"/>
          <w:lang w:val="zh-CN" w:eastAsia="zh-CN"/>
          <w14:textFill>
            <w14:solidFill>
              <w14:schemeClr w14:val="tx1"/>
            </w14:solidFill>
          </w14:textFill>
        </w:rPr>
      </w:pPr>
      <w:r>
        <w:rPr>
          <w:rFonts w:hint="eastAsia"/>
          <w:color w:val="000000" w:themeColor="text1"/>
          <w:kern w:val="0"/>
          <w:szCs w:val="21"/>
          <w14:textFill>
            <w14:solidFill>
              <w14:schemeClr w14:val="tx1"/>
            </w14:solidFill>
          </w14:textFill>
        </w:rPr>
        <w:t>联系人：</w:t>
      </w:r>
      <w:r>
        <w:rPr>
          <w:rFonts w:hint="eastAsia"/>
          <w:color w:val="000000" w:themeColor="text1"/>
          <w:kern w:val="0"/>
          <w:szCs w:val="21"/>
          <w:u w:val="single"/>
          <w:lang w:val="en-US" w:eastAsia="zh-CN"/>
          <w14:textFill>
            <w14:solidFill>
              <w14:schemeClr w14:val="tx1"/>
            </w14:solidFill>
          </w14:textFill>
        </w:rPr>
        <w:t>张先生</w:t>
      </w:r>
    </w:p>
    <w:p w14:paraId="0B603EDE">
      <w:pPr>
        <w:autoSpaceDE w:val="0"/>
        <w:autoSpaceDN w:val="0"/>
        <w:spacing w:line="480" w:lineRule="exact"/>
        <w:ind w:firstLine="420" w:firstLineChars="200"/>
        <w:jc w:val="left"/>
        <w:rPr>
          <w:rFonts w:hint="default"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zh-CN"/>
          <w14:textFill>
            <w14:solidFill>
              <w14:schemeClr w14:val="tx1"/>
            </w14:solidFill>
          </w14:textFill>
        </w:rPr>
        <w:t>联系电话：</w:t>
      </w:r>
      <w:r>
        <w:rPr>
          <w:rFonts w:hint="eastAsia"/>
          <w:color w:val="000000" w:themeColor="text1"/>
          <w:kern w:val="0"/>
          <w:szCs w:val="21"/>
          <w:u w:val="single"/>
          <w:lang w:val="en-US" w:eastAsia="zh-CN"/>
          <w14:textFill>
            <w14:solidFill>
              <w14:schemeClr w14:val="tx1"/>
            </w14:solidFill>
          </w14:textFill>
        </w:rPr>
        <w:t>13651586064</w:t>
      </w:r>
    </w:p>
    <w:p w14:paraId="06587C2E">
      <w:pPr>
        <w:autoSpaceDE w:val="0"/>
        <w:autoSpaceDN w:val="0"/>
        <w:spacing w:line="480" w:lineRule="exact"/>
        <w:ind w:firstLine="420" w:firstLineChars="200"/>
        <w:jc w:val="left"/>
        <w:rPr>
          <w:color w:val="000000" w:themeColor="text1"/>
          <w:kern w:val="0"/>
          <w:szCs w:val="21"/>
          <w:lang w:val="zh-CN"/>
          <w14:textFill>
            <w14:solidFill>
              <w14:schemeClr w14:val="tx1"/>
            </w14:solidFill>
          </w14:textFill>
        </w:rPr>
      </w:pPr>
      <w:r>
        <w:rPr>
          <w:color w:val="000000" w:themeColor="text1"/>
          <w:kern w:val="0"/>
          <w:szCs w:val="21"/>
          <w:lang w:val="zh-CN"/>
          <w14:textFill>
            <w14:solidFill>
              <w14:schemeClr w14:val="tx1"/>
            </w14:solidFill>
          </w14:textFill>
        </w:rPr>
        <w:t>2.</w:t>
      </w:r>
      <w:r>
        <w:rPr>
          <w:rFonts w:hint="eastAsia"/>
          <w:color w:val="000000" w:themeColor="text1"/>
          <w:kern w:val="0"/>
          <w:szCs w:val="21"/>
          <w14:textFill>
            <w14:solidFill>
              <w14:schemeClr w14:val="tx1"/>
            </w14:solidFill>
          </w14:textFill>
        </w:rPr>
        <w:t>采购</w:t>
      </w:r>
      <w:r>
        <w:rPr>
          <w:color w:val="000000" w:themeColor="text1"/>
          <w:kern w:val="0"/>
          <w:szCs w:val="21"/>
          <w:lang w:val="zh-CN"/>
          <w14:textFill>
            <w14:solidFill>
              <w14:schemeClr w14:val="tx1"/>
            </w14:solidFill>
          </w14:textFill>
        </w:rPr>
        <w:t>代理机构信息</w:t>
      </w:r>
    </w:p>
    <w:p w14:paraId="4F650708">
      <w:pPr>
        <w:autoSpaceDE w:val="0"/>
        <w:autoSpaceDN w:val="0"/>
        <w:spacing w:line="480" w:lineRule="exact"/>
        <w:ind w:firstLine="420" w:firstLineChars="200"/>
        <w:jc w:val="left"/>
        <w:rPr>
          <w:rFonts w:hint="eastAsia"/>
          <w:color w:val="000000" w:themeColor="text1"/>
          <w:kern w:val="0"/>
          <w:szCs w:val="21"/>
          <w:u w:val="single"/>
          <w:lang w:eastAsia="zh-CN"/>
          <w14:textFill>
            <w14:solidFill>
              <w14:schemeClr w14:val="tx1"/>
            </w14:solidFill>
          </w14:textFill>
        </w:rPr>
      </w:pPr>
      <w:r>
        <w:rPr>
          <w:color w:val="000000" w:themeColor="text1"/>
          <w:kern w:val="0"/>
          <w:szCs w:val="21"/>
          <w:lang w:val="zh-CN"/>
          <w14:textFill>
            <w14:solidFill>
              <w14:schemeClr w14:val="tx1"/>
            </w14:solidFill>
          </w14:textFill>
        </w:rPr>
        <w:t>名称：</w:t>
      </w:r>
      <w:r>
        <w:rPr>
          <w:rFonts w:hint="eastAsia"/>
          <w:color w:val="000000" w:themeColor="text1"/>
          <w:kern w:val="0"/>
          <w:szCs w:val="21"/>
          <w:u w:val="single"/>
          <w:lang w:eastAsia="zh-CN"/>
          <w14:textFill>
            <w14:solidFill>
              <w14:schemeClr w14:val="tx1"/>
            </w14:solidFill>
          </w14:textFill>
        </w:rPr>
        <w:t>江苏仁禾中衡工程咨询房地产估价有限公司</w:t>
      </w:r>
    </w:p>
    <w:p w14:paraId="2D2672D8">
      <w:pPr>
        <w:autoSpaceDE w:val="0"/>
        <w:autoSpaceDN w:val="0"/>
        <w:spacing w:line="480" w:lineRule="exact"/>
        <w:ind w:firstLine="420" w:firstLineChars="200"/>
        <w:jc w:val="left"/>
        <w:rPr>
          <w:rFonts w:hint="eastAsia" w:eastAsia="宋体"/>
          <w:color w:val="000000" w:themeColor="text1"/>
          <w:kern w:val="0"/>
          <w:szCs w:val="21"/>
          <w:u w:val="single"/>
          <w:lang w:eastAsia="zh-CN"/>
          <w14:textFill>
            <w14:solidFill>
              <w14:schemeClr w14:val="tx1"/>
            </w14:solidFill>
          </w14:textFill>
        </w:rPr>
      </w:pPr>
      <w:r>
        <w:rPr>
          <w:color w:val="000000" w:themeColor="text1"/>
          <w:kern w:val="0"/>
          <w:szCs w:val="21"/>
          <w:lang w:val="zh-CN"/>
          <w14:textFill>
            <w14:solidFill>
              <w14:schemeClr w14:val="tx1"/>
            </w14:solidFill>
          </w14:textFill>
        </w:rPr>
        <w:t>地址：</w:t>
      </w:r>
      <w:r>
        <w:rPr>
          <w:rFonts w:hint="eastAsia"/>
          <w:color w:val="000000" w:themeColor="text1"/>
          <w:kern w:val="0"/>
          <w:szCs w:val="21"/>
          <w:u w:val="single"/>
          <w:lang w:eastAsia="zh-CN"/>
          <w14:textFill>
            <w14:solidFill>
              <w14:schemeClr w14:val="tx1"/>
            </w14:solidFill>
          </w14:textFill>
        </w:rPr>
        <w:t>盐城市大丰区丰尚国际1号楼9楼</w:t>
      </w:r>
    </w:p>
    <w:p w14:paraId="52142308">
      <w:pPr>
        <w:autoSpaceDE w:val="0"/>
        <w:autoSpaceDN w:val="0"/>
        <w:spacing w:line="480" w:lineRule="exact"/>
        <w:ind w:firstLine="420" w:firstLineChars="200"/>
        <w:jc w:val="left"/>
        <w:rPr>
          <w:rFonts w:hint="eastAsia"/>
          <w:color w:val="000000" w:themeColor="text1"/>
          <w:kern w:val="0"/>
          <w:szCs w:val="21"/>
          <w:u w:val="single"/>
          <w:lang w:eastAsia="zh-CN"/>
          <w14:textFill>
            <w14:solidFill>
              <w14:schemeClr w14:val="tx1"/>
            </w14:solidFill>
          </w14:textFill>
        </w:rPr>
      </w:pPr>
      <w:r>
        <w:rPr>
          <w:rFonts w:hint="eastAsia"/>
          <w:color w:val="000000" w:themeColor="text1"/>
          <w:kern w:val="0"/>
          <w:szCs w:val="21"/>
          <w14:textFill>
            <w14:solidFill>
              <w14:schemeClr w14:val="tx1"/>
            </w14:solidFill>
          </w14:textFill>
        </w:rPr>
        <w:t>联系人：</w:t>
      </w:r>
      <w:r>
        <w:rPr>
          <w:rFonts w:hint="eastAsia"/>
          <w:color w:val="000000" w:themeColor="text1"/>
          <w:kern w:val="0"/>
          <w:szCs w:val="21"/>
          <w:u w:val="single"/>
          <w:lang w:eastAsia="zh-CN"/>
          <w14:textFill>
            <w14:solidFill>
              <w14:schemeClr w14:val="tx1"/>
            </w14:solidFill>
          </w14:textFill>
        </w:rPr>
        <w:t>董娟</w:t>
      </w:r>
    </w:p>
    <w:p w14:paraId="10FC473B">
      <w:pPr>
        <w:autoSpaceDE w:val="0"/>
        <w:autoSpaceDN w:val="0"/>
        <w:spacing w:line="480" w:lineRule="exact"/>
        <w:ind w:firstLine="420" w:firstLineChars="200"/>
        <w:jc w:val="left"/>
        <w:rPr>
          <w:color w:val="000000" w:themeColor="text1"/>
          <w:kern w:val="0"/>
          <w:szCs w:val="21"/>
          <w:lang w:val="zh-CN"/>
          <w14:textFill>
            <w14:solidFill>
              <w14:schemeClr w14:val="tx1"/>
            </w14:solidFill>
          </w14:textFill>
        </w:rPr>
      </w:pPr>
      <w:r>
        <w:rPr>
          <w:color w:val="000000" w:themeColor="text1"/>
          <w:kern w:val="0"/>
          <w:szCs w:val="21"/>
          <w:lang w:val="zh-CN"/>
          <w14:textFill>
            <w14:solidFill>
              <w14:schemeClr w14:val="tx1"/>
            </w14:solidFill>
          </w14:textFill>
        </w:rPr>
        <w:t>联系方式：</w:t>
      </w:r>
      <w:bookmarkEnd w:id="15"/>
      <w:r>
        <w:rPr>
          <w:rFonts w:hint="eastAsia"/>
          <w:color w:val="000000" w:themeColor="text1"/>
          <w:kern w:val="0"/>
          <w:szCs w:val="21"/>
          <w:u w:val="single"/>
          <w:lang w:eastAsia="zh-CN"/>
          <w14:textFill>
            <w14:solidFill>
              <w14:schemeClr w14:val="tx1"/>
            </w14:solidFill>
          </w14:textFill>
        </w:rPr>
        <w:t>18061413668</w:t>
      </w:r>
      <w:r>
        <w:rPr>
          <w:color w:val="000000" w:themeColor="text1"/>
          <w:kern w:val="0"/>
          <w:szCs w:val="21"/>
          <w:lang w:val="zh-CN"/>
          <w14:textFill>
            <w14:solidFill>
              <w14:schemeClr w14:val="tx1"/>
            </w14:solidFill>
          </w14:textFill>
        </w:rPr>
        <w:t>　　　　　　　　　　　　</w:t>
      </w:r>
    </w:p>
    <w:bookmarkEnd w:id="16"/>
    <w:p w14:paraId="39456D10">
      <w:pPr>
        <w:widowControl/>
        <w:jc w:val="left"/>
        <w:rPr>
          <w:b/>
          <w:bCs/>
          <w:color w:val="000000" w:themeColor="text1"/>
          <w:kern w:val="44"/>
          <w:sz w:val="44"/>
          <w:szCs w:val="44"/>
          <w14:textFill>
            <w14:solidFill>
              <w14:schemeClr w14:val="tx1"/>
            </w14:solidFill>
          </w14:textFill>
        </w:rPr>
      </w:pPr>
      <w:bookmarkStart w:id="27" w:name="_Toc20523"/>
      <w:r>
        <w:rPr>
          <w:color w:val="000000" w:themeColor="text1"/>
          <w14:textFill>
            <w14:solidFill>
              <w14:schemeClr w14:val="tx1"/>
            </w14:solidFill>
          </w14:textFill>
        </w:rPr>
        <w:br w:type="page"/>
      </w:r>
    </w:p>
    <w:p w14:paraId="3775D55B">
      <w:pPr>
        <w:pStyle w:val="3"/>
        <w:spacing w:before="0" w:after="0" w:line="360" w:lineRule="auto"/>
        <w:rPr>
          <w:color w:val="000000" w:themeColor="text1"/>
          <w14:textFill>
            <w14:solidFill>
              <w14:schemeClr w14:val="tx1"/>
            </w14:solidFill>
          </w14:textFill>
        </w:rPr>
      </w:pPr>
      <w:bookmarkStart w:id="28" w:name="_Toc151229425"/>
      <w:r>
        <w:rPr>
          <w:color w:val="000000" w:themeColor="text1"/>
          <w14:textFill>
            <w14:solidFill>
              <w14:schemeClr w14:val="tx1"/>
            </w14:solidFill>
          </w14:textFill>
        </w:rPr>
        <w:t>第二章  投标人须知</w:t>
      </w:r>
      <w:bookmarkEnd w:id="17"/>
      <w:bookmarkEnd w:id="18"/>
      <w:bookmarkEnd w:id="19"/>
      <w:bookmarkEnd w:id="20"/>
      <w:bookmarkEnd w:id="21"/>
      <w:bookmarkEnd w:id="22"/>
      <w:bookmarkEnd w:id="23"/>
      <w:bookmarkEnd w:id="24"/>
      <w:bookmarkEnd w:id="25"/>
      <w:bookmarkEnd w:id="26"/>
      <w:bookmarkEnd w:id="27"/>
      <w:bookmarkEnd w:id="28"/>
    </w:p>
    <w:p w14:paraId="3E86D608">
      <w:pPr>
        <w:pStyle w:val="163"/>
        <w:spacing w:before="0" w:after="0"/>
        <w:jc w:val="center"/>
        <w:rPr>
          <w:rFonts w:ascii="Times New Roman" w:hAnsi="Times New Roman" w:cs="Times New Roman"/>
          <w:color w:val="000000" w:themeColor="text1"/>
          <w14:textFill>
            <w14:solidFill>
              <w14:schemeClr w14:val="tx1"/>
            </w14:solidFill>
          </w14:textFill>
        </w:rPr>
      </w:pPr>
      <w:bookmarkStart w:id="29" w:name="_Toc508216879"/>
      <w:bookmarkStart w:id="30" w:name="_Toc397928548"/>
      <w:bookmarkStart w:id="31" w:name="_Toc387526374"/>
      <w:bookmarkStart w:id="32" w:name="_Toc16205"/>
      <w:bookmarkStart w:id="33" w:name="_Toc369077559"/>
      <w:bookmarkStart w:id="34" w:name="_Toc387526178"/>
      <w:bookmarkStart w:id="35" w:name="_Toc387526282"/>
      <w:r>
        <w:rPr>
          <w:rFonts w:ascii="Times New Roman" w:hAnsi="Times New Roman" w:cs="Times New Roman"/>
          <w:color w:val="000000" w:themeColor="text1"/>
          <w14:textFill>
            <w14:solidFill>
              <w14:schemeClr w14:val="tx1"/>
            </w14:solidFill>
          </w14:textFill>
        </w:rPr>
        <w:t>投标人须知前附表</w:t>
      </w:r>
      <w:bookmarkEnd w:id="29"/>
      <w:bookmarkEnd w:id="30"/>
      <w:bookmarkEnd w:id="31"/>
      <w:bookmarkEnd w:id="32"/>
      <w:bookmarkEnd w:id="33"/>
      <w:bookmarkEnd w:id="34"/>
      <w:bookmarkEnd w:id="35"/>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215"/>
        <w:gridCol w:w="6152"/>
      </w:tblGrid>
      <w:tr w14:paraId="777EA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pct"/>
            <w:vAlign w:val="center"/>
          </w:tcPr>
          <w:p w14:paraId="55CDBFCE">
            <w:pPr>
              <w:keepNext w:val="0"/>
              <w:keepLines w:val="0"/>
              <w:pageBreakBefore w:val="0"/>
              <w:widowControl w:val="0"/>
              <w:kinsoku/>
              <w:wordWrap w:val="0"/>
              <w:overflowPunct/>
              <w:topLinePunct w:val="0"/>
              <w:autoSpaceDE/>
              <w:autoSpaceDN/>
              <w:bidi w:val="0"/>
              <w:spacing w:line="380" w:lineRule="atLeast"/>
              <w:jc w:val="center"/>
              <w:textAlignment w:val="auto"/>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条款号</w:t>
            </w:r>
          </w:p>
        </w:tc>
        <w:tc>
          <w:tcPr>
            <w:tcW w:w="1193" w:type="pct"/>
            <w:vAlign w:val="center"/>
          </w:tcPr>
          <w:p w14:paraId="514425F0">
            <w:pPr>
              <w:keepNext w:val="0"/>
              <w:keepLines w:val="0"/>
              <w:pageBreakBefore w:val="0"/>
              <w:widowControl w:val="0"/>
              <w:kinsoku/>
              <w:wordWrap w:val="0"/>
              <w:overflowPunct/>
              <w:topLinePunct w:val="0"/>
              <w:autoSpaceDE/>
              <w:autoSpaceDN/>
              <w:bidi w:val="0"/>
              <w:spacing w:line="380" w:lineRule="atLeast"/>
              <w:jc w:val="center"/>
              <w:textAlignment w:val="auto"/>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条 款 名 称</w:t>
            </w:r>
          </w:p>
        </w:tc>
        <w:tc>
          <w:tcPr>
            <w:tcW w:w="3314" w:type="pct"/>
            <w:vAlign w:val="center"/>
          </w:tcPr>
          <w:p w14:paraId="3E705BCD">
            <w:pPr>
              <w:keepNext w:val="0"/>
              <w:keepLines w:val="0"/>
              <w:pageBreakBefore w:val="0"/>
              <w:widowControl w:val="0"/>
              <w:kinsoku/>
              <w:wordWrap w:val="0"/>
              <w:overflowPunct/>
              <w:topLinePunct w:val="0"/>
              <w:autoSpaceDE/>
              <w:autoSpaceDN/>
              <w:bidi w:val="0"/>
              <w:spacing w:line="380" w:lineRule="atLeast"/>
              <w:jc w:val="center"/>
              <w:textAlignment w:val="auto"/>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编 列 内 容</w:t>
            </w:r>
          </w:p>
        </w:tc>
      </w:tr>
      <w:tr w14:paraId="7B38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pct"/>
            <w:vAlign w:val="center"/>
          </w:tcPr>
          <w:p w14:paraId="518ED9C2">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1.1.2</w:t>
            </w:r>
          </w:p>
        </w:tc>
        <w:tc>
          <w:tcPr>
            <w:tcW w:w="1193" w:type="pct"/>
            <w:vAlign w:val="center"/>
          </w:tcPr>
          <w:p w14:paraId="7044C390">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采购</w:t>
            </w:r>
            <w:r>
              <w:rPr>
                <w:color w:val="000000" w:themeColor="text1"/>
                <w:szCs w:val="21"/>
                <w:highlight w:val="none"/>
                <w14:textFill>
                  <w14:solidFill>
                    <w14:schemeClr w14:val="tx1"/>
                  </w14:solidFill>
                </w14:textFill>
              </w:rPr>
              <w:t>人</w:t>
            </w:r>
          </w:p>
        </w:tc>
        <w:tc>
          <w:tcPr>
            <w:tcW w:w="3314" w:type="pct"/>
            <w:vAlign w:val="center"/>
          </w:tcPr>
          <w:p w14:paraId="190F4E38">
            <w:pPr>
              <w:keepNext w:val="0"/>
              <w:keepLines w:val="0"/>
              <w:pageBreakBefore w:val="0"/>
              <w:widowControl w:val="0"/>
              <w:kinsoku/>
              <w:wordWrap w:val="0"/>
              <w:overflowPunct/>
              <w:topLinePunct w:val="0"/>
              <w:autoSpaceDE/>
              <w:autoSpaceDN/>
              <w:bidi w:val="0"/>
              <w:spacing w:line="380" w:lineRule="atLeast"/>
              <w:textAlignment w:val="auto"/>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盐城市大丰区城镇净水有限公司</w:t>
            </w:r>
          </w:p>
        </w:tc>
      </w:tr>
      <w:tr w14:paraId="43AC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pct"/>
            <w:vAlign w:val="center"/>
          </w:tcPr>
          <w:p w14:paraId="4340B044">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1.1.3</w:t>
            </w:r>
          </w:p>
        </w:tc>
        <w:tc>
          <w:tcPr>
            <w:tcW w:w="1193" w:type="pct"/>
            <w:vAlign w:val="center"/>
          </w:tcPr>
          <w:p w14:paraId="23B6F60C">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采购</w:t>
            </w:r>
            <w:r>
              <w:rPr>
                <w:color w:val="000000" w:themeColor="text1"/>
                <w:szCs w:val="21"/>
                <w:highlight w:val="none"/>
                <w14:textFill>
                  <w14:solidFill>
                    <w14:schemeClr w14:val="tx1"/>
                  </w14:solidFill>
                </w14:textFill>
              </w:rPr>
              <w:t>代理机构</w:t>
            </w:r>
          </w:p>
        </w:tc>
        <w:tc>
          <w:tcPr>
            <w:tcW w:w="3314" w:type="pct"/>
            <w:vAlign w:val="center"/>
          </w:tcPr>
          <w:p w14:paraId="3D09FFEE">
            <w:pPr>
              <w:keepNext w:val="0"/>
              <w:keepLines w:val="0"/>
              <w:pageBreakBefore w:val="0"/>
              <w:widowControl w:val="0"/>
              <w:kinsoku/>
              <w:wordWrap w:val="0"/>
              <w:overflowPunct/>
              <w:topLinePunct w:val="0"/>
              <w:autoSpaceDE/>
              <w:autoSpaceDN/>
              <w:bidi w:val="0"/>
              <w:spacing w:line="380" w:lineRule="atLeast"/>
              <w:textAlignment w:val="auto"/>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江苏仁禾中衡工程咨询房地产估价有限公司</w:t>
            </w:r>
          </w:p>
        </w:tc>
      </w:tr>
      <w:tr w14:paraId="699C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pct"/>
            <w:vAlign w:val="center"/>
          </w:tcPr>
          <w:p w14:paraId="3B2AEC26">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1.1.4</w:t>
            </w:r>
          </w:p>
        </w:tc>
        <w:tc>
          <w:tcPr>
            <w:tcW w:w="1193" w:type="pct"/>
            <w:vAlign w:val="center"/>
          </w:tcPr>
          <w:p w14:paraId="78B24D09">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项目名称</w:t>
            </w:r>
          </w:p>
        </w:tc>
        <w:tc>
          <w:tcPr>
            <w:tcW w:w="3314" w:type="pct"/>
            <w:vAlign w:val="center"/>
          </w:tcPr>
          <w:p w14:paraId="6B424D4D">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大丰区农村生活污水智慧管理平台（二期）</w:t>
            </w:r>
          </w:p>
        </w:tc>
      </w:tr>
      <w:tr w14:paraId="328F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91" w:type="pct"/>
            <w:vAlign w:val="center"/>
          </w:tcPr>
          <w:p w14:paraId="301CD83D">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1.2.1</w:t>
            </w:r>
          </w:p>
        </w:tc>
        <w:tc>
          <w:tcPr>
            <w:tcW w:w="1193" w:type="pct"/>
            <w:vAlign w:val="center"/>
          </w:tcPr>
          <w:p w14:paraId="5DA075A0">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资金来源</w:t>
            </w:r>
          </w:p>
        </w:tc>
        <w:tc>
          <w:tcPr>
            <w:tcW w:w="3314" w:type="pct"/>
            <w:vAlign w:val="center"/>
          </w:tcPr>
          <w:p w14:paraId="6FCD5051">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自筹</w:t>
            </w:r>
          </w:p>
        </w:tc>
      </w:tr>
      <w:tr w14:paraId="16F6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pct"/>
            <w:vAlign w:val="center"/>
          </w:tcPr>
          <w:p w14:paraId="3801F896">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1.2.2</w:t>
            </w:r>
          </w:p>
        </w:tc>
        <w:tc>
          <w:tcPr>
            <w:tcW w:w="1193" w:type="pct"/>
            <w:vAlign w:val="center"/>
          </w:tcPr>
          <w:p w14:paraId="3EAA6FDA">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出资比例</w:t>
            </w:r>
          </w:p>
        </w:tc>
        <w:tc>
          <w:tcPr>
            <w:tcW w:w="3314" w:type="pct"/>
            <w:vAlign w:val="center"/>
          </w:tcPr>
          <w:p w14:paraId="2B91E479">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100%</w:t>
            </w:r>
          </w:p>
        </w:tc>
      </w:tr>
      <w:tr w14:paraId="5F74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pct"/>
            <w:vAlign w:val="center"/>
          </w:tcPr>
          <w:p w14:paraId="15357ACB">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1.2.3</w:t>
            </w:r>
          </w:p>
        </w:tc>
        <w:tc>
          <w:tcPr>
            <w:tcW w:w="1193" w:type="pct"/>
            <w:vAlign w:val="center"/>
          </w:tcPr>
          <w:p w14:paraId="3FB47D6F">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资金落实情况</w:t>
            </w:r>
          </w:p>
        </w:tc>
        <w:tc>
          <w:tcPr>
            <w:tcW w:w="3314" w:type="pct"/>
            <w:vAlign w:val="center"/>
          </w:tcPr>
          <w:p w14:paraId="0A3CF44D">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已落实</w:t>
            </w:r>
          </w:p>
        </w:tc>
      </w:tr>
      <w:tr w14:paraId="1D43B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pct"/>
            <w:vAlign w:val="center"/>
          </w:tcPr>
          <w:p w14:paraId="24BA0AC4">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1.3.1</w:t>
            </w:r>
          </w:p>
        </w:tc>
        <w:tc>
          <w:tcPr>
            <w:tcW w:w="1193" w:type="pct"/>
            <w:vAlign w:val="center"/>
          </w:tcPr>
          <w:p w14:paraId="103BCE62">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招标范围</w:t>
            </w:r>
          </w:p>
        </w:tc>
        <w:tc>
          <w:tcPr>
            <w:tcW w:w="3314" w:type="pct"/>
            <w:vAlign w:val="center"/>
          </w:tcPr>
          <w:p w14:paraId="61693C86">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见招标公告</w:t>
            </w:r>
          </w:p>
        </w:tc>
      </w:tr>
      <w:tr w14:paraId="33A8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pct"/>
            <w:vAlign w:val="center"/>
          </w:tcPr>
          <w:p w14:paraId="4B29288C">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1.3.2</w:t>
            </w:r>
          </w:p>
        </w:tc>
        <w:tc>
          <w:tcPr>
            <w:tcW w:w="1193" w:type="pct"/>
            <w:vAlign w:val="center"/>
          </w:tcPr>
          <w:p w14:paraId="05056252">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合同履行期限</w:t>
            </w:r>
          </w:p>
        </w:tc>
        <w:tc>
          <w:tcPr>
            <w:tcW w:w="3314" w:type="pct"/>
            <w:vAlign w:val="center"/>
          </w:tcPr>
          <w:p w14:paraId="3A99A700">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见招标公告</w:t>
            </w:r>
          </w:p>
        </w:tc>
      </w:tr>
      <w:tr w14:paraId="60BDD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pct"/>
            <w:vAlign w:val="center"/>
          </w:tcPr>
          <w:p w14:paraId="6298624D">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1.3.3</w:t>
            </w:r>
          </w:p>
        </w:tc>
        <w:tc>
          <w:tcPr>
            <w:tcW w:w="1193" w:type="pct"/>
            <w:vAlign w:val="center"/>
          </w:tcPr>
          <w:p w14:paraId="0B001A83">
            <w:pPr>
              <w:keepNext w:val="0"/>
              <w:keepLines w:val="0"/>
              <w:pageBreakBefore w:val="0"/>
              <w:widowControl w:val="0"/>
              <w:kinsoku/>
              <w:wordWrap w:val="0"/>
              <w:overflowPunct/>
              <w:topLinePunct w:val="0"/>
              <w:autoSpaceDE/>
              <w:autoSpaceDN/>
              <w:bidi w:val="0"/>
              <w:spacing w:line="380" w:lineRule="atLeast"/>
              <w:jc w:val="center"/>
              <w:textAlignment w:val="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服务地点</w:t>
            </w:r>
          </w:p>
        </w:tc>
        <w:tc>
          <w:tcPr>
            <w:tcW w:w="3314" w:type="pct"/>
            <w:vAlign w:val="center"/>
          </w:tcPr>
          <w:p w14:paraId="1E05D4B4">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招标人</w:t>
            </w:r>
            <w:r>
              <w:rPr>
                <w:color w:val="000000" w:themeColor="text1"/>
                <w:szCs w:val="21"/>
                <w:highlight w:val="none"/>
                <w14:textFill>
                  <w14:solidFill>
                    <w14:schemeClr w14:val="tx1"/>
                  </w14:solidFill>
                </w14:textFill>
              </w:rPr>
              <w:t>指定地点</w:t>
            </w:r>
          </w:p>
        </w:tc>
      </w:tr>
      <w:tr w14:paraId="2143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pct"/>
            <w:vAlign w:val="center"/>
          </w:tcPr>
          <w:p w14:paraId="6D13AE52">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1.3.4</w:t>
            </w:r>
          </w:p>
        </w:tc>
        <w:tc>
          <w:tcPr>
            <w:tcW w:w="1193" w:type="pct"/>
            <w:vAlign w:val="center"/>
          </w:tcPr>
          <w:p w14:paraId="27136BD6">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质量要求及验收标准</w:t>
            </w:r>
          </w:p>
        </w:tc>
        <w:tc>
          <w:tcPr>
            <w:tcW w:w="3314" w:type="pct"/>
            <w:vAlign w:val="center"/>
          </w:tcPr>
          <w:p w14:paraId="2F1CC7E3">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相关质量验收规范合格标准，确保通过相关有权部门的审查，所有设备、材料质量等级符合招标文件中技术需求、国家现行的相关规范标准及有关部门最新颁布的相应的最新标准。</w:t>
            </w:r>
          </w:p>
          <w:p w14:paraId="7E2D0C74">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验收执行标准：国家或行业最新标准、招标文件各项技术参数指标、投标文件投标承诺所达到的各项技术参数指标（招标文件、投标文件、国家或行业标准不一致处以最高标准执行）</w:t>
            </w:r>
          </w:p>
        </w:tc>
      </w:tr>
      <w:tr w14:paraId="5A06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pct"/>
            <w:vAlign w:val="center"/>
          </w:tcPr>
          <w:p w14:paraId="3E155149">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1.4.1</w:t>
            </w:r>
          </w:p>
        </w:tc>
        <w:tc>
          <w:tcPr>
            <w:tcW w:w="1193" w:type="pct"/>
            <w:vAlign w:val="center"/>
          </w:tcPr>
          <w:p w14:paraId="52DC3BEE">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投标人资格要求</w:t>
            </w:r>
          </w:p>
        </w:tc>
        <w:tc>
          <w:tcPr>
            <w:tcW w:w="3314" w:type="pct"/>
            <w:vAlign w:val="center"/>
          </w:tcPr>
          <w:p w14:paraId="65F3EE34">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见招标公告</w:t>
            </w:r>
          </w:p>
        </w:tc>
      </w:tr>
      <w:tr w14:paraId="170C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pct"/>
            <w:vAlign w:val="center"/>
          </w:tcPr>
          <w:p w14:paraId="39BD4CC4">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1.4.2</w:t>
            </w:r>
          </w:p>
        </w:tc>
        <w:tc>
          <w:tcPr>
            <w:tcW w:w="1193" w:type="pct"/>
            <w:vAlign w:val="center"/>
          </w:tcPr>
          <w:p w14:paraId="2E36D651">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是否接受联合体投标</w:t>
            </w:r>
          </w:p>
        </w:tc>
        <w:tc>
          <w:tcPr>
            <w:tcW w:w="3314" w:type="pct"/>
            <w:vAlign w:val="center"/>
          </w:tcPr>
          <w:p w14:paraId="08C8B679">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kern w:val="0"/>
                <w:szCs w:val="21"/>
                <w:highlight w:val="none"/>
                <w14:textFill>
                  <w14:solidFill>
                    <w14:schemeClr w14:val="tx1"/>
                  </w14:solidFill>
                </w14:textFill>
              </w:rPr>
            </w:pPr>
            <w:r>
              <w:rPr>
                <w:color w:val="000000" w:themeColor="text1"/>
                <w:szCs w:val="21"/>
                <w:highlight w:val="none"/>
                <w14:textFill>
                  <w14:solidFill>
                    <w14:schemeClr w14:val="tx1"/>
                  </w14:solidFill>
                </w14:textFill>
              </w:rPr>
              <w:t>见招标公告</w:t>
            </w:r>
          </w:p>
        </w:tc>
      </w:tr>
      <w:tr w14:paraId="5B5E8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pct"/>
            <w:vAlign w:val="center"/>
          </w:tcPr>
          <w:p w14:paraId="67D25043">
            <w:pPr>
              <w:keepNext w:val="0"/>
              <w:keepLines w:val="0"/>
              <w:pageBreakBefore w:val="0"/>
              <w:widowControl w:val="0"/>
              <w:kinsoku/>
              <w:wordWrap w:val="0"/>
              <w:overflowPunct/>
              <w:topLinePunct w:val="0"/>
              <w:autoSpaceDE/>
              <w:autoSpaceDN/>
              <w:bidi w:val="0"/>
              <w:spacing w:line="380" w:lineRule="atLeast"/>
              <w:jc w:val="center"/>
              <w:textAlignment w:val="auto"/>
              <w:rPr>
                <w:b/>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1.9.1</w:t>
            </w:r>
          </w:p>
        </w:tc>
        <w:tc>
          <w:tcPr>
            <w:tcW w:w="1193" w:type="pct"/>
            <w:vAlign w:val="center"/>
          </w:tcPr>
          <w:p w14:paraId="0A5DF6F4">
            <w:pPr>
              <w:keepNext w:val="0"/>
              <w:keepLines w:val="0"/>
              <w:pageBreakBefore w:val="0"/>
              <w:widowControl w:val="0"/>
              <w:kinsoku/>
              <w:wordWrap w:val="0"/>
              <w:overflowPunct/>
              <w:topLinePunct w:val="0"/>
              <w:autoSpaceDE/>
              <w:autoSpaceDN/>
              <w:bidi w:val="0"/>
              <w:spacing w:line="380" w:lineRule="atLeast"/>
              <w:jc w:val="center"/>
              <w:textAlignment w:val="auto"/>
              <w:rPr>
                <w:b/>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踏勘现场</w:t>
            </w:r>
          </w:p>
        </w:tc>
        <w:tc>
          <w:tcPr>
            <w:tcW w:w="3314" w:type="pct"/>
            <w:vAlign w:val="center"/>
          </w:tcPr>
          <w:p w14:paraId="51D7B599">
            <w:pPr>
              <w:keepNext w:val="0"/>
              <w:keepLines w:val="0"/>
              <w:pageBreakBefore w:val="0"/>
              <w:widowControl w:val="0"/>
              <w:kinsoku/>
              <w:wordWrap w:val="0"/>
              <w:overflowPunct/>
              <w:topLinePunct w:val="0"/>
              <w:autoSpaceDE/>
              <w:autoSpaceDN/>
              <w:bidi w:val="0"/>
              <w:spacing w:line="380" w:lineRule="atLeast"/>
              <w:textAlignment w:val="auto"/>
              <w:rPr>
                <w:b/>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投标人自行踏勘现场</w:t>
            </w:r>
          </w:p>
        </w:tc>
      </w:tr>
      <w:tr w14:paraId="534B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pct"/>
            <w:vAlign w:val="center"/>
          </w:tcPr>
          <w:p w14:paraId="54B88800">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1.10</w:t>
            </w:r>
          </w:p>
        </w:tc>
        <w:tc>
          <w:tcPr>
            <w:tcW w:w="1193" w:type="pct"/>
            <w:vAlign w:val="center"/>
          </w:tcPr>
          <w:p w14:paraId="46464AE8">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投标预备会</w:t>
            </w:r>
          </w:p>
        </w:tc>
        <w:tc>
          <w:tcPr>
            <w:tcW w:w="3314" w:type="pct"/>
            <w:vAlign w:val="center"/>
          </w:tcPr>
          <w:p w14:paraId="11B47722">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sym w:font="Wingdings 2" w:char="0052"/>
            </w:r>
            <w:r>
              <w:rPr>
                <w:color w:val="000000" w:themeColor="text1"/>
                <w:szCs w:val="21"/>
                <w:highlight w:val="none"/>
                <w14:textFill>
                  <w14:solidFill>
                    <w14:schemeClr w14:val="tx1"/>
                  </w14:solidFill>
                </w14:textFill>
              </w:rPr>
              <w:t>不召开</w:t>
            </w:r>
          </w:p>
        </w:tc>
      </w:tr>
      <w:tr w14:paraId="53B0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pct"/>
            <w:vAlign w:val="center"/>
          </w:tcPr>
          <w:p w14:paraId="00436557">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1.11</w:t>
            </w:r>
          </w:p>
        </w:tc>
        <w:tc>
          <w:tcPr>
            <w:tcW w:w="1193" w:type="pct"/>
            <w:vAlign w:val="center"/>
          </w:tcPr>
          <w:p w14:paraId="34935BE0">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偏离</w:t>
            </w:r>
          </w:p>
        </w:tc>
        <w:tc>
          <w:tcPr>
            <w:tcW w:w="3314" w:type="pct"/>
            <w:vAlign w:val="center"/>
          </w:tcPr>
          <w:p w14:paraId="14386CBB">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详见招标文件相关条款</w:t>
            </w:r>
          </w:p>
        </w:tc>
      </w:tr>
      <w:tr w14:paraId="1D51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pct"/>
            <w:vAlign w:val="center"/>
          </w:tcPr>
          <w:p w14:paraId="23158FE9">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2.1.1</w:t>
            </w:r>
          </w:p>
        </w:tc>
        <w:tc>
          <w:tcPr>
            <w:tcW w:w="1193" w:type="pct"/>
            <w:vAlign w:val="center"/>
          </w:tcPr>
          <w:p w14:paraId="0D3E9D30">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构成招标文件的</w:t>
            </w:r>
          </w:p>
          <w:p w14:paraId="3620EF1D">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其它材料</w:t>
            </w:r>
          </w:p>
        </w:tc>
        <w:tc>
          <w:tcPr>
            <w:tcW w:w="3314" w:type="pct"/>
            <w:vAlign w:val="center"/>
          </w:tcPr>
          <w:p w14:paraId="2881F99D">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无</w:t>
            </w:r>
          </w:p>
        </w:tc>
      </w:tr>
      <w:tr w14:paraId="1409B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pct"/>
            <w:vAlign w:val="center"/>
          </w:tcPr>
          <w:p w14:paraId="6353B46A">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2.2.1</w:t>
            </w:r>
          </w:p>
        </w:tc>
        <w:tc>
          <w:tcPr>
            <w:tcW w:w="1193" w:type="pct"/>
            <w:vAlign w:val="center"/>
          </w:tcPr>
          <w:p w14:paraId="4E003D24">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要求招标人澄清招标文件</w:t>
            </w:r>
            <w:r>
              <w:rPr>
                <w:rFonts w:hint="eastAsia"/>
                <w:color w:val="000000" w:themeColor="text1"/>
                <w:szCs w:val="21"/>
                <w:highlight w:val="none"/>
                <w14:textFill>
                  <w14:solidFill>
                    <w14:schemeClr w14:val="tx1"/>
                  </w14:solidFill>
                </w14:textFill>
              </w:rPr>
              <w:t>截止</w:t>
            </w:r>
            <w:r>
              <w:rPr>
                <w:color w:val="000000" w:themeColor="text1"/>
                <w:szCs w:val="21"/>
                <w:highlight w:val="none"/>
                <w14:textFill>
                  <w14:solidFill>
                    <w14:schemeClr w14:val="tx1"/>
                  </w14:solidFill>
                </w14:textFill>
              </w:rPr>
              <w:t>时间</w:t>
            </w:r>
          </w:p>
        </w:tc>
        <w:tc>
          <w:tcPr>
            <w:tcW w:w="3314" w:type="pct"/>
            <w:vAlign w:val="center"/>
          </w:tcPr>
          <w:p w14:paraId="7A366691">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szCs w:val="21"/>
                <w:highlight w:val="none"/>
                <w14:textFill>
                  <w14:solidFill>
                    <w14:schemeClr w14:val="tx1"/>
                  </w14:solidFill>
                </w14:textFill>
              </w:rPr>
            </w:pPr>
            <w:r>
              <w:rPr>
                <w:color w:val="000000" w:themeColor="text1"/>
                <w:szCs w:val="21"/>
                <w:highlight w:val="none"/>
                <w:u w:val="single"/>
                <w14:textFill>
                  <w14:solidFill>
                    <w14:schemeClr w14:val="tx1"/>
                  </w14:solidFill>
                </w14:textFill>
              </w:rPr>
              <w:t>202</w:t>
            </w:r>
            <w:r>
              <w:rPr>
                <w:rFonts w:hint="eastAsia"/>
                <w:color w:val="000000" w:themeColor="text1"/>
                <w:szCs w:val="21"/>
                <w:highlight w:val="none"/>
                <w:u w:val="single"/>
                <w:lang w:val="en-US" w:eastAsia="zh-CN"/>
                <w14:textFill>
                  <w14:solidFill>
                    <w14:schemeClr w14:val="tx1"/>
                  </w14:solidFill>
                </w14:textFill>
              </w:rPr>
              <w:t>5</w:t>
            </w:r>
            <w:r>
              <w:rPr>
                <w:color w:val="000000" w:themeColor="text1"/>
                <w:szCs w:val="21"/>
                <w:highlight w:val="none"/>
                <w:u w:val="none"/>
                <w14:textFill>
                  <w14:solidFill>
                    <w14:schemeClr w14:val="tx1"/>
                  </w14:solidFill>
                </w14:textFill>
              </w:rPr>
              <w:t>年</w:t>
            </w:r>
            <w:r>
              <w:rPr>
                <w:rFonts w:hint="eastAsia"/>
                <w:color w:val="000000" w:themeColor="text1"/>
                <w:szCs w:val="21"/>
                <w:highlight w:val="none"/>
                <w:u w:val="single"/>
                <w:lang w:val="en-US" w:eastAsia="zh-CN"/>
                <w14:textFill>
                  <w14:solidFill>
                    <w14:schemeClr w14:val="tx1"/>
                  </w14:solidFill>
                </w14:textFill>
              </w:rPr>
              <w:t xml:space="preserve"> 8</w:t>
            </w:r>
            <w:r>
              <w:rPr>
                <w:color w:val="000000" w:themeColor="text1"/>
                <w:szCs w:val="21"/>
                <w:highlight w:val="none"/>
                <w14:textFill>
                  <w14:solidFill>
                    <w14:schemeClr w14:val="tx1"/>
                  </w14:solidFill>
                </w14:textFill>
              </w:rPr>
              <w:t>月</w:t>
            </w:r>
            <w:r>
              <w:rPr>
                <w:rFonts w:hint="eastAsia"/>
                <w:color w:val="000000" w:themeColor="text1"/>
                <w:szCs w:val="21"/>
                <w:highlight w:val="none"/>
                <w:u w:val="single"/>
                <w:lang w:val="en-US" w:eastAsia="zh-CN"/>
                <w14:textFill>
                  <w14:solidFill>
                    <w14:schemeClr w14:val="tx1"/>
                  </w14:solidFill>
                </w14:textFill>
              </w:rPr>
              <w:t xml:space="preserve"> 21</w:t>
            </w:r>
            <w:r>
              <w:rPr>
                <w:color w:val="000000" w:themeColor="text1"/>
                <w:szCs w:val="21"/>
                <w:highlight w:val="none"/>
                <w14:textFill>
                  <w14:solidFill>
                    <w14:schemeClr w14:val="tx1"/>
                  </w14:solidFill>
                </w14:textFill>
              </w:rPr>
              <w:t>日</w:t>
            </w:r>
            <w:r>
              <w:rPr>
                <w:color w:val="000000" w:themeColor="text1"/>
                <w:szCs w:val="21"/>
                <w:highlight w:val="none"/>
                <w:u w:val="single"/>
                <w14:textFill>
                  <w14:solidFill>
                    <w14:schemeClr w14:val="tx1"/>
                  </w14:solidFill>
                </w14:textFill>
              </w:rPr>
              <w:t>18：00</w:t>
            </w:r>
            <w:r>
              <w:rPr>
                <w:color w:val="000000" w:themeColor="text1"/>
                <w:szCs w:val="21"/>
                <w:highlight w:val="none"/>
                <w14:textFill>
                  <w14:solidFill>
                    <w14:schemeClr w14:val="tx1"/>
                  </w14:solidFill>
                </w14:textFill>
              </w:rPr>
              <w:t>前</w:t>
            </w:r>
          </w:p>
        </w:tc>
      </w:tr>
      <w:tr w14:paraId="69339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pct"/>
            <w:vAlign w:val="center"/>
          </w:tcPr>
          <w:p w14:paraId="53A6315A">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2.2.3</w:t>
            </w:r>
          </w:p>
        </w:tc>
        <w:tc>
          <w:tcPr>
            <w:tcW w:w="1193" w:type="pct"/>
            <w:vAlign w:val="center"/>
          </w:tcPr>
          <w:p w14:paraId="4E1F8DE9">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投标人确认收到招标文件澄清时间</w:t>
            </w:r>
          </w:p>
        </w:tc>
        <w:tc>
          <w:tcPr>
            <w:tcW w:w="3314" w:type="pct"/>
            <w:vAlign w:val="center"/>
          </w:tcPr>
          <w:p w14:paraId="2B940940">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投标人自行网上</w:t>
            </w:r>
            <w:r>
              <w:rPr>
                <w:rFonts w:hint="eastAsia"/>
                <w:color w:val="000000" w:themeColor="text1"/>
                <w:szCs w:val="21"/>
                <w:highlight w:val="none"/>
                <w14:textFill>
                  <w14:solidFill>
                    <w14:schemeClr w14:val="tx1"/>
                  </w14:solidFill>
                </w14:textFill>
              </w:rPr>
              <w:t>查询</w:t>
            </w:r>
          </w:p>
        </w:tc>
      </w:tr>
      <w:tr w14:paraId="16A7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pct"/>
            <w:vAlign w:val="center"/>
          </w:tcPr>
          <w:p w14:paraId="7BDE1010">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2.3.1</w:t>
            </w:r>
          </w:p>
        </w:tc>
        <w:tc>
          <w:tcPr>
            <w:tcW w:w="1193" w:type="pct"/>
            <w:vAlign w:val="center"/>
          </w:tcPr>
          <w:p w14:paraId="5D4739F0">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投标人确认收到招标文件修改时间</w:t>
            </w:r>
          </w:p>
        </w:tc>
        <w:tc>
          <w:tcPr>
            <w:tcW w:w="3314" w:type="pct"/>
            <w:vAlign w:val="center"/>
          </w:tcPr>
          <w:p w14:paraId="108698FD">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投标人自行网上</w:t>
            </w:r>
            <w:r>
              <w:rPr>
                <w:rFonts w:hint="eastAsia"/>
                <w:color w:val="000000" w:themeColor="text1"/>
                <w:szCs w:val="21"/>
                <w:highlight w:val="none"/>
                <w14:textFill>
                  <w14:solidFill>
                    <w14:schemeClr w14:val="tx1"/>
                  </w14:solidFill>
                </w14:textFill>
              </w:rPr>
              <w:t>查询</w:t>
            </w:r>
          </w:p>
        </w:tc>
      </w:tr>
      <w:tr w14:paraId="6BC8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pct"/>
            <w:vAlign w:val="center"/>
          </w:tcPr>
          <w:p w14:paraId="3E3699B5">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3.1.1</w:t>
            </w:r>
          </w:p>
        </w:tc>
        <w:tc>
          <w:tcPr>
            <w:tcW w:w="1193" w:type="pct"/>
            <w:vAlign w:val="center"/>
          </w:tcPr>
          <w:p w14:paraId="4FB39509">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投标文件的组成</w:t>
            </w:r>
          </w:p>
        </w:tc>
        <w:tc>
          <w:tcPr>
            <w:tcW w:w="3314" w:type="pct"/>
            <w:vAlign w:val="center"/>
          </w:tcPr>
          <w:p w14:paraId="376963C5">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1、本项目投标文件包括资信文件、商务文件、技术文件。</w:t>
            </w:r>
          </w:p>
          <w:p w14:paraId="61254CD0">
            <w:pPr>
              <w:keepNext w:val="0"/>
              <w:keepLines w:val="0"/>
              <w:pageBreakBefore w:val="0"/>
              <w:widowControl w:val="0"/>
              <w:kinsoku/>
              <w:wordWrap w:val="0"/>
              <w:overflowPunct/>
              <w:topLinePunct w:val="0"/>
              <w:autoSpaceDE/>
              <w:autoSpaceDN/>
              <w:bidi w:val="0"/>
              <w:spacing w:line="380" w:lineRule="atLeast"/>
              <w:textAlignment w:val="auto"/>
              <w:rPr>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⑴</w:t>
            </w:r>
            <w:r>
              <w:rPr>
                <w:b/>
                <w:bCs/>
                <w:color w:val="000000" w:themeColor="text1"/>
                <w:szCs w:val="21"/>
                <w:highlight w:val="none"/>
                <w14:textFill>
                  <w14:solidFill>
                    <w14:schemeClr w14:val="tx1"/>
                  </w14:solidFill>
                </w14:textFill>
              </w:rPr>
              <w:t>资信文件应包括如下内容：</w:t>
            </w:r>
          </w:p>
          <w:p w14:paraId="6F00B601">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sym w:font="Wingdings 2" w:char="0052"/>
            </w:r>
            <w:r>
              <w:rPr>
                <w:color w:val="000000" w:themeColor="text1"/>
                <w:szCs w:val="21"/>
                <w:highlight w:val="none"/>
                <w14:textFill>
                  <w14:solidFill>
                    <w14:schemeClr w14:val="tx1"/>
                  </w14:solidFill>
                </w14:textFill>
              </w:rPr>
              <w:t>投标企业营业执照</w:t>
            </w:r>
            <w:r>
              <w:rPr>
                <w:rFonts w:hint="eastAsia"/>
                <w:color w:val="000000" w:themeColor="text1"/>
                <w:szCs w:val="21"/>
                <w:highlight w:val="none"/>
                <w14:textFill>
                  <w14:solidFill>
                    <w14:schemeClr w14:val="tx1"/>
                  </w14:solidFill>
                </w14:textFill>
              </w:rPr>
              <w:t>（或事业单位法人证书）；</w:t>
            </w:r>
          </w:p>
          <w:p w14:paraId="09C9DC3C">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sym w:font="Wingdings 2" w:char="0052"/>
            </w:r>
            <w:r>
              <w:rPr>
                <w:rFonts w:hint="eastAsia"/>
                <w:color w:val="000000" w:themeColor="text1"/>
                <w:szCs w:val="21"/>
                <w:highlight w:val="none"/>
                <w14:textFill>
                  <w14:solidFill>
                    <w14:schemeClr w14:val="tx1"/>
                  </w14:solidFill>
                </w14:textFill>
              </w:rPr>
              <w:t>符合招标公告要求的承诺函。</w:t>
            </w:r>
          </w:p>
          <w:p w14:paraId="662AE23E">
            <w:pPr>
              <w:keepNext w:val="0"/>
              <w:keepLines w:val="0"/>
              <w:pageBreakBefore w:val="0"/>
              <w:widowControl w:val="0"/>
              <w:kinsoku/>
              <w:wordWrap w:val="0"/>
              <w:overflowPunct/>
              <w:topLinePunct w:val="0"/>
              <w:autoSpaceDE/>
              <w:autoSpaceDN/>
              <w:bidi w:val="0"/>
              <w:spacing w:line="380" w:lineRule="atLeast"/>
              <w:textAlignment w:val="auto"/>
              <w:rPr>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⑵</w:t>
            </w:r>
            <w:r>
              <w:rPr>
                <w:b/>
                <w:bCs/>
                <w:color w:val="000000" w:themeColor="text1"/>
                <w:szCs w:val="21"/>
                <w:highlight w:val="none"/>
                <w14:textFill>
                  <w14:solidFill>
                    <w14:schemeClr w14:val="tx1"/>
                  </w14:solidFill>
                </w14:textFill>
              </w:rPr>
              <w:t>商务文件应包括如下内容：</w:t>
            </w:r>
          </w:p>
          <w:p w14:paraId="16364928">
            <w:pPr>
              <w:keepNext w:val="0"/>
              <w:keepLines w:val="0"/>
              <w:pageBreakBefore w:val="0"/>
              <w:widowControl w:val="0"/>
              <w:kinsoku/>
              <w:wordWrap w:val="0"/>
              <w:overflowPunct/>
              <w:topLinePunct w:val="0"/>
              <w:autoSpaceDE/>
              <w:autoSpaceDN/>
              <w:bidi w:val="0"/>
              <w:spacing w:line="380" w:lineRule="atLeast"/>
              <w:textAlignment w:val="auto"/>
              <w:rPr>
                <w:b/>
                <w:bCs/>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sym w:font="Wingdings 2" w:char="0052"/>
            </w:r>
            <w:r>
              <w:rPr>
                <w:rFonts w:hint="eastAsia"/>
                <w:color w:val="000000" w:themeColor="text1"/>
                <w:szCs w:val="21"/>
                <w:highlight w:val="none"/>
                <w14:textFill>
                  <w14:solidFill>
                    <w14:schemeClr w14:val="tx1"/>
                  </w14:solidFill>
                </w14:textFill>
              </w:rPr>
              <w:t>投标文件</w:t>
            </w:r>
            <w:r>
              <w:rPr>
                <w:rFonts w:hint="eastAsia"/>
                <w:color w:val="000000" w:themeColor="text1"/>
                <w:highlight w:val="none"/>
                <w14:textFill>
                  <w14:solidFill>
                    <w14:schemeClr w14:val="tx1"/>
                  </w14:solidFill>
                </w14:textFill>
              </w:rPr>
              <w:t>封面</w:t>
            </w:r>
          </w:p>
          <w:p w14:paraId="3BA134D6">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sym w:font="Wingdings 2" w:char="0052"/>
            </w:r>
            <w:r>
              <w:rPr>
                <w:color w:val="000000" w:themeColor="text1"/>
                <w:szCs w:val="21"/>
                <w:highlight w:val="none"/>
                <w14:textFill>
                  <w14:solidFill>
                    <w14:schemeClr w14:val="tx1"/>
                  </w14:solidFill>
                </w14:textFill>
              </w:rPr>
              <w:t>投标函；</w:t>
            </w:r>
          </w:p>
          <w:p w14:paraId="3274BD26">
            <w:pPr>
              <w:pStyle w:val="19"/>
              <w:keepNext w:val="0"/>
              <w:keepLines w:val="0"/>
              <w:pageBreakBefore w:val="0"/>
              <w:widowControl w:val="0"/>
              <w:kinsoku/>
              <w:wordWrap w:val="0"/>
              <w:overflowPunct/>
              <w:topLinePunct w:val="0"/>
              <w:autoSpaceDE/>
              <w:autoSpaceDN/>
              <w:bidi w:val="0"/>
              <w:spacing w:after="0" w:line="380" w:lineRule="atLeast"/>
              <w:textAlignment w:val="auto"/>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sym w:font="Wingdings 2" w:char="0052"/>
            </w:r>
            <w:r>
              <w:rPr>
                <w:rFonts w:hint="eastAsia"/>
                <w:color w:val="000000" w:themeColor="text1"/>
                <w:highlight w:val="none"/>
                <w14:textFill>
                  <w14:solidFill>
                    <w14:schemeClr w14:val="tx1"/>
                  </w14:solidFill>
                </w14:textFill>
              </w:rPr>
              <w:t>投标报价汇总表、投标报价明细表；</w:t>
            </w:r>
          </w:p>
          <w:p w14:paraId="4389389D">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sym w:font="Wingdings 2" w:char="0052"/>
            </w:r>
            <w:r>
              <w:rPr>
                <w:rFonts w:hint="eastAsia"/>
                <w:color w:val="000000" w:themeColor="text1"/>
                <w:szCs w:val="21"/>
                <w:highlight w:val="none"/>
                <w14:textFill>
                  <w14:solidFill>
                    <w14:schemeClr w14:val="tx1"/>
                  </w14:solidFill>
                </w14:textFill>
              </w:rPr>
              <w:t>投标人</w:t>
            </w:r>
            <w:r>
              <w:rPr>
                <w:color w:val="000000" w:themeColor="text1"/>
                <w:szCs w:val="21"/>
                <w:highlight w:val="none"/>
                <w14:textFill>
                  <w14:solidFill>
                    <w14:schemeClr w14:val="tx1"/>
                  </w14:solidFill>
                </w14:textFill>
              </w:rPr>
              <w:t>法定代表人身份证明书；</w:t>
            </w:r>
          </w:p>
          <w:p w14:paraId="024DC8C3">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sym w:font="Wingdings 2" w:char="0052"/>
            </w:r>
            <w:r>
              <w:rPr>
                <w:rFonts w:hint="eastAsia"/>
                <w:color w:val="000000" w:themeColor="text1"/>
                <w:szCs w:val="21"/>
                <w:highlight w:val="none"/>
                <w14:textFill>
                  <w14:solidFill>
                    <w14:schemeClr w14:val="tx1"/>
                  </w14:solidFill>
                </w14:textFill>
              </w:rPr>
              <w:t>投标人</w:t>
            </w:r>
            <w:r>
              <w:rPr>
                <w:color w:val="000000" w:themeColor="text1"/>
                <w:szCs w:val="21"/>
                <w:highlight w:val="none"/>
                <w14:textFill>
                  <w14:solidFill>
                    <w14:schemeClr w14:val="tx1"/>
                  </w14:solidFill>
                </w14:textFill>
              </w:rPr>
              <w:t>法定代表人授权委托书及授权委托人身份证复印件（如有）；</w:t>
            </w:r>
          </w:p>
          <w:p w14:paraId="7D1B9FA0">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sym w:font="Wingdings 2" w:char="0052"/>
            </w:r>
            <w:r>
              <w:rPr>
                <w:color w:val="000000" w:themeColor="text1"/>
                <w:highlight w:val="none"/>
                <w14:textFill>
                  <w14:solidFill>
                    <w14:schemeClr w14:val="tx1"/>
                  </w14:solidFill>
                </w14:textFill>
              </w:rPr>
              <w:t>项目组</w:t>
            </w:r>
            <w:r>
              <w:rPr>
                <w:rFonts w:hint="eastAsia"/>
                <w:color w:val="000000" w:themeColor="text1"/>
                <w:highlight w:val="none"/>
                <w14:textFill>
                  <w14:solidFill>
                    <w14:schemeClr w14:val="tx1"/>
                  </w14:solidFill>
                </w14:textFill>
              </w:rPr>
              <w:t>人员配备（格式见附件）；</w:t>
            </w:r>
          </w:p>
          <w:p w14:paraId="27C7C593">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sym w:font="Wingdings 2" w:char="0052"/>
            </w:r>
            <w:r>
              <w:rPr>
                <w:rFonts w:hint="eastAsia"/>
                <w:color w:val="000000" w:themeColor="text1"/>
                <w:highlight w:val="none"/>
                <w14:textFill>
                  <w14:solidFill>
                    <w14:schemeClr w14:val="tx1"/>
                  </w14:solidFill>
                </w14:textFill>
              </w:rPr>
              <w:t>商务条款偏离表；</w:t>
            </w:r>
          </w:p>
          <w:p w14:paraId="1E63E475">
            <w:pPr>
              <w:keepNext w:val="0"/>
              <w:keepLines w:val="0"/>
              <w:pageBreakBefore w:val="0"/>
              <w:widowControl w:val="0"/>
              <w:kinsoku/>
              <w:wordWrap w:val="0"/>
              <w:overflowPunct/>
              <w:topLinePunct w:val="0"/>
              <w:autoSpaceDE/>
              <w:autoSpaceDN/>
              <w:bidi w:val="0"/>
              <w:spacing w:line="380" w:lineRule="atLeast"/>
              <w:textAlignment w:val="auto"/>
              <w:rPr>
                <w:rFonts w:ascii="宋体" w:hAnsi="宋体" w:cs="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sym w:font="Wingdings 2" w:char="0052"/>
            </w:r>
            <w:r>
              <w:rPr>
                <w:rFonts w:hint="eastAsia" w:ascii="宋体" w:hAnsi="宋体" w:cs="宋体"/>
                <w:color w:val="000000" w:themeColor="text1"/>
                <w:szCs w:val="21"/>
                <w:highlight w:val="none"/>
                <w14:textFill>
                  <w14:solidFill>
                    <w14:schemeClr w14:val="tx1"/>
                  </w14:solidFill>
                </w14:textFill>
              </w:rPr>
              <w:t>盐城市大丰区招标采购供应商承诺书（只作为评标办法中的评审因素，不作为废标条款）；</w:t>
            </w:r>
          </w:p>
          <w:p w14:paraId="7F234596">
            <w:pPr>
              <w:keepNext w:val="0"/>
              <w:keepLines w:val="0"/>
              <w:pageBreakBefore w:val="0"/>
              <w:widowControl w:val="0"/>
              <w:kinsoku/>
              <w:wordWrap w:val="0"/>
              <w:overflowPunct/>
              <w:topLinePunct w:val="0"/>
              <w:autoSpaceDE/>
              <w:autoSpaceDN/>
              <w:bidi w:val="0"/>
              <w:spacing w:line="380" w:lineRule="atLeast"/>
              <w:textAlignment w:val="auto"/>
              <w:rPr>
                <w:rFonts w:ascii="宋体" w:hAnsi="宋体" w:cs="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sym w:font="Wingdings 2" w:char="0052"/>
            </w:r>
            <w:r>
              <w:rPr>
                <w:color w:val="000000" w:themeColor="text1"/>
                <w:szCs w:val="21"/>
                <w:highlight w:val="none"/>
                <w14:textFill>
                  <w14:solidFill>
                    <w14:schemeClr w14:val="tx1"/>
                  </w14:solidFill>
                </w14:textFill>
              </w:rPr>
              <w:t>按招标文件要求以及评标办法评分需要提供</w:t>
            </w:r>
            <w:r>
              <w:rPr>
                <w:rFonts w:hint="eastAsia"/>
                <w:color w:val="000000" w:themeColor="text1"/>
                <w:szCs w:val="21"/>
                <w:highlight w:val="none"/>
                <w14:textFill>
                  <w14:solidFill>
                    <w14:schemeClr w14:val="tx1"/>
                  </w14:solidFill>
                </w14:textFill>
              </w:rPr>
              <w:t>的其他材料。</w:t>
            </w:r>
          </w:p>
          <w:p w14:paraId="53CF3019">
            <w:pPr>
              <w:keepNext w:val="0"/>
              <w:keepLines w:val="0"/>
              <w:pageBreakBefore w:val="0"/>
              <w:widowControl w:val="0"/>
              <w:kinsoku/>
              <w:wordWrap w:val="0"/>
              <w:overflowPunct/>
              <w:topLinePunct w:val="0"/>
              <w:autoSpaceDE/>
              <w:autoSpaceDN/>
              <w:bidi w:val="0"/>
              <w:spacing w:line="380" w:lineRule="atLeast"/>
              <w:textAlignment w:val="auto"/>
              <w:rPr>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⑶</w:t>
            </w:r>
            <w:r>
              <w:rPr>
                <w:b/>
                <w:bCs/>
                <w:color w:val="000000" w:themeColor="text1"/>
                <w:szCs w:val="21"/>
                <w:highlight w:val="none"/>
                <w14:textFill>
                  <w14:solidFill>
                    <w14:schemeClr w14:val="tx1"/>
                  </w14:solidFill>
                </w14:textFill>
              </w:rPr>
              <w:t>技术文件应包括如下内容：</w:t>
            </w:r>
          </w:p>
          <w:p w14:paraId="4E7500FA">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sym w:font="Wingdings 2" w:char="0052"/>
            </w:r>
            <w:r>
              <w:rPr>
                <w:color w:val="000000" w:themeColor="text1"/>
                <w:szCs w:val="21"/>
                <w:highlight w:val="none"/>
                <w14:textFill>
                  <w14:solidFill>
                    <w14:schemeClr w14:val="tx1"/>
                  </w14:solidFill>
                </w14:textFill>
              </w:rPr>
              <w:t>按招标文件要求以及评标办法评分需要提供。</w:t>
            </w:r>
          </w:p>
          <w:p w14:paraId="5A5992CA">
            <w:pPr>
              <w:keepNext w:val="0"/>
              <w:keepLines w:val="0"/>
              <w:pageBreakBefore w:val="0"/>
              <w:widowControl w:val="0"/>
              <w:kinsoku/>
              <w:wordWrap w:val="0"/>
              <w:overflowPunct/>
              <w:topLinePunct w:val="0"/>
              <w:autoSpaceDE/>
              <w:autoSpaceDN/>
              <w:bidi w:val="0"/>
              <w:spacing w:line="380" w:lineRule="atLeast"/>
              <w:textAlignment w:val="auto"/>
              <w:rPr>
                <w:rFonts w:hint="eastAsia" w:eastAsia="宋体"/>
                <w:color w:val="000000" w:themeColor="text1"/>
                <w:szCs w:val="21"/>
                <w:highlight w:val="none"/>
                <w:lang w:val="en-US" w:eastAsia="zh-CN"/>
                <w14:textFill>
                  <w14:solidFill>
                    <w14:schemeClr w14:val="tx1"/>
                  </w14:solidFill>
                </w14:textFill>
              </w:rPr>
            </w:pPr>
            <w:r>
              <w:rPr>
                <w:b/>
                <w:bCs/>
                <w:color w:val="000000" w:themeColor="text1"/>
                <w:szCs w:val="21"/>
                <w:highlight w:val="none"/>
                <w14:textFill>
                  <w14:solidFill>
                    <w14:schemeClr w14:val="tx1"/>
                  </w14:solidFill>
                </w14:textFill>
              </w:rPr>
              <w:t>2、必须从诚信库中获取的材料：</w:t>
            </w:r>
            <w:r>
              <w:rPr>
                <w:rFonts w:hint="eastAsia"/>
                <w:b/>
                <w:bCs/>
                <w:color w:val="000000" w:themeColor="text1"/>
                <w:szCs w:val="21"/>
                <w:highlight w:val="none"/>
                <w:lang w:val="en-US" w:eastAsia="zh-CN"/>
                <w14:textFill>
                  <w14:solidFill>
                    <w14:schemeClr w14:val="tx1"/>
                  </w14:solidFill>
                </w14:textFill>
              </w:rPr>
              <w:t>无</w:t>
            </w:r>
          </w:p>
          <w:p w14:paraId="39613E34">
            <w:pPr>
              <w:pStyle w:val="19"/>
              <w:keepNext w:val="0"/>
              <w:keepLines w:val="0"/>
              <w:pageBreakBefore w:val="0"/>
              <w:widowControl w:val="0"/>
              <w:numPr>
                <w:ilvl w:val="0"/>
                <w:numId w:val="0"/>
              </w:numPr>
              <w:kinsoku/>
              <w:wordWrap w:val="0"/>
              <w:overflowPunct/>
              <w:topLinePunct w:val="0"/>
              <w:autoSpaceDE/>
              <w:autoSpaceDN/>
              <w:bidi w:val="0"/>
              <w:spacing w:after="0" w:line="380" w:lineRule="atLeast"/>
              <w:textAlignment w:val="auto"/>
              <w:rPr>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3、</w:t>
            </w:r>
            <w:r>
              <w:rPr>
                <w:rFonts w:hint="eastAsia" w:ascii="宋体" w:hAnsi="宋体" w:cs="宋体"/>
                <w:b/>
                <w:bCs/>
                <w:color w:val="000000" w:themeColor="text1"/>
                <w:szCs w:val="21"/>
                <w:highlight w:val="none"/>
                <w14:textFill>
                  <w14:solidFill>
                    <w14:schemeClr w14:val="tx1"/>
                  </w14:solidFill>
                </w14:textFill>
              </w:rPr>
              <w:t>无需从诚信库勾选，可直接提供原件的彩色扫描件的材料：</w:t>
            </w:r>
            <w:r>
              <w:rPr>
                <w:color w:val="000000" w:themeColor="text1"/>
                <w:szCs w:val="21"/>
                <w:highlight w:val="none"/>
                <w14:textFill>
                  <w14:solidFill>
                    <w14:schemeClr w14:val="tx1"/>
                  </w14:solidFill>
                </w14:textFill>
              </w:rPr>
              <w:t xml:space="preserve"> </w:t>
            </w:r>
          </w:p>
          <w:p w14:paraId="3F8F8CDD">
            <w:pPr>
              <w:pStyle w:val="19"/>
              <w:keepNext w:val="0"/>
              <w:keepLines w:val="0"/>
              <w:pageBreakBefore w:val="0"/>
              <w:widowControl w:val="0"/>
              <w:kinsoku/>
              <w:wordWrap w:val="0"/>
              <w:overflowPunct/>
              <w:topLinePunct w:val="0"/>
              <w:autoSpaceDE/>
              <w:autoSpaceDN/>
              <w:bidi w:val="0"/>
              <w:spacing w:after="0" w:line="380" w:lineRule="atLeast"/>
              <w:textAlignment w:val="auto"/>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sym w:font="Wingdings 2" w:char="0052"/>
            </w:r>
            <w:r>
              <w:rPr>
                <w:color w:val="000000" w:themeColor="text1"/>
                <w:szCs w:val="21"/>
                <w:highlight w:val="none"/>
                <w14:textFill>
                  <w14:solidFill>
                    <w14:schemeClr w14:val="tx1"/>
                  </w14:solidFill>
                </w14:textFill>
              </w:rPr>
              <w:t>企业营业执照</w:t>
            </w:r>
            <w:r>
              <w:rPr>
                <w:rFonts w:hint="eastAsia"/>
                <w:color w:val="000000" w:themeColor="text1"/>
                <w:szCs w:val="21"/>
                <w:highlight w:val="none"/>
                <w14:textFill>
                  <w14:solidFill>
                    <w14:schemeClr w14:val="tx1"/>
                  </w14:solidFill>
                </w14:textFill>
              </w:rPr>
              <w:t>（或事业单位法人证书）</w:t>
            </w:r>
            <w:r>
              <w:rPr>
                <w:color w:val="000000" w:themeColor="text1"/>
                <w:szCs w:val="21"/>
                <w:highlight w:val="none"/>
                <w14:textFill>
                  <w14:solidFill>
                    <w14:schemeClr w14:val="tx1"/>
                  </w14:solidFill>
                </w14:textFill>
              </w:rPr>
              <w:t>；</w:t>
            </w:r>
          </w:p>
          <w:p w14:paraId="3CCCAA70">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sym w:font="Wingdings 2" w:char="0052"/>
            </w:r>
            <w:r>
              <w:rPr>
                <w:rFonts w:hint="eastAsia"/>
                <w:color w:val="000000" w:themeColor="text1"/>
                <w:szCs w:val="21"/>
                <w:highlight w:val="none"/>
                <w14:textFill>
                  <w14:solidFill>
                    <w14:schemeClr w14:val="tx1"/>
                  </w14:solidFill>
                </w14:textFill>
              </w:rPr>
              <w:t>符合招标公告要求的承诺函。</w:t>
            </w:r>
          </w:p>
          <w:p w14:paraId="1EBA4A7E">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sym w:font="Wingdings 2" w:char="0052"/>
            </w:r>
            <w:r>
              <w:rPr>
                <w:rFonts w:hint="eastAsia"/>
                <w:color w:val="000000" w:themeColor="text1"/>
                <w:szCs w:val="21"/>
                <w:highlight w:val="none"/>
                <w14:textFill>
                  <w14:solidFill>
                    <w14:schemeClr w14:val="tx1"/>
                  </w14:solidFill>
                </w14:textFill>
              </w:rPr>
              <w:t>评标办法中的计分证明材料。</w:t>
            </w:r>
          </w:p>
        </w:tc>
      </w:tr>
      <w:tr w14:paraId="3CE6F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pct"/>
            <w:vAlign w:val="center"/>
          </w:tcPr>
          <w:p w14:paraId="042C2895">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3.2.2</w:t>
            </w:r>
          </w:p>
        </w:tc>
        <w:tc>
          <w:tcPr>
            <w:tcW w:w="1193" w:type="pct"/>
            <w:vAlign w:val="center"/>
          </w:tcPr>
          <w:p w14:paraId="2D1D8A36">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投标报价要求</w:t>
            </w:r>
          </w:p>
        </w:tc>
        <w:tc>
          <w:tcPr>
            <w:tcW w:w="3314" w:type="pct"/>
            <w:vAlign w:val="center"/>
          </w:tcPr>
          <w:p w14:paraId="614C084A">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本次招标计价方式采用“固定</w:t>
            </w:r>
            <w:r>
              <w:rPr>
                <w:rFonts w:hint="eastAsia"/>
                <w:color w:val="000000" w:themeColor="text1"/>
                <w:szCs w:val="21"/>
                <w:highlight w:val="none"/>
                <w:lang w:val="en-US" w:eastAsia="zh-CN"/>
                <w14:textFill>
                  <w14:solidFill>
                    <w14:schemeClr w14:val="tx1"/>
                  </w14:solidFill>
                </w14:textFill>
              </w:rPr>
              <w:t>总</w:t>
            </w:r>
            <w:r>
              <w:rPr>
                <w:rFonts w:hint="eastAsia"/>
                <w:color w:val="000000" w:themeColor="text1"/>
                <w:szCs w:val="21"/>
                <w:highlight w:val="none"/>
                <w14:textFill>
                  <w14:solidFill>
                    <w14:schemeClr w14:val="tx1"/>
                  </w14:solidFill>
                </w14:textFill>
              </w:rPr>
              <w:t>价”报价，投标报价应包括完成本项目实施期间所必须的全部货物和服务的价格、标准附件、备品备件、专用工具、软件（含设计、开发等）及模块、安全生产费及相关费用、人员工资、加班费、工作人员差旅费、各项福利、劳动保险、餐费、员工补助、工作人员必要的住宿费、办公费、采购及安装、材料二次搬运、调试、平台系统的集成对接、检测费（含现场抽检费用及抽检不合格的更换至合格为止的所有费用）、保修、保险、试运行直至验收合格、培训、售后服务以及投标人为完成本招标项目所必须的费用、企业管理费、利润、税收（含关税）、风险费、垃圾清运、环境保护、特殊条件施工增加费用、现场施工围栏、成品保护、开办费、辅助材料费、工程完工后临时设施的拆除与清理及现场恢复费用、运营期间与社区、街道、城管、物管、供电（接电等本项目涉及的内容）、供水、电信等相关部门的协调工作所涉及的相关的全部费用、本招标文件规定的为完成项目验收所需的企业检验试验费用、资金成本、不可预见费（应充分考虑所有风险、责任等）及政策性文件规定等为完成本项目交付采购人使用所需的全部费用的价格体现。投标所报单价为最终结算单价，投标人不得再要求追加任何费用。同时，除非合同条款中另有规定，否则，投标单位所报单价在合同实施期间不因市场变化因素而变动。</w:t>
            </w:r>
          </w:p>
        </w:tc>
      </w:tr>
      <w:tr w14:paraId="1A150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pct"/>
            <w:vAlign w:val="center"/>
          </w:tcPr>
          <w:p w14:paraId="033C9308">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3.2.3</w:t>
            </w:r>
          </w:p>
        </w:tc>
        <w:tc>
          <w:tcPr>
            <w:tcW w:w="1193" w:type="pct"/>
            <w:vAlign w:val="center"/>
          </w:tcPr>
          <w:p w14:paraId="45E156AC">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最高投标限价</w:t>
            </w:r>
          </w:p>
        </w:tc>
        <w:tc>
          <w:tcPr>
            <w:tcW w:w="3314" w:type="pct"/>
            <w:vAlign w:val="center"/>
          </w:tcPr>
          <w:p w14:paraId="70C6EA3D">
            <w:pPr>
              <w:keepNext w:val="0"/>
              <w:keepLines w:val="0"/>
              <w:pageBreakBefore w:val="0"/>
              <w:widowControl w:val="0"/>
              <w:kinsoku/>
              <w:wordWrap w:val="0"/>
              <w:overflowPunct/>
              <w:topLinePunct w:val="0"/>
              <w:autoSpaceDE/>
              <w:autoSpaceDN/>
              <w:bidi w:val="0"/>
              <w:spacing w:line="380" w:lineRule="atLeas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本项目招标人设定的最高投标限价为人民币</w:t>
            </w:r>
            <w:r>
              <w:rPr>
                <w:rFonts w:hint="eastAsia" w:ascii="宋体" w:hAnsi="宋体" w:cs="宋体"/>
                <w:color w:val="000000" w:themeColor="text1"/>
                <w:szCs w:val="21"/>
                <w:highlight w:val="none"/>
                <w:lang w:val="en-US" w:eastAsia="zh-CN"/>
                <w14:textFill>
                  <w14:solidFill>
                    <w14:schemeClr w14:val="tx1"/>
                  </w14:solidFill>
                </w14:textFill>
              </w:rPr>
              <w:t>210</w:t>
            </w:r>
            <w:r>
              <w:rPr>
                <w:rFonts w:ascii="宋体" w:hAnsi="宋体" w:cs="宋体"/>
                <w:color w:val="000000" w:themeColor="text1"/>
                <w:szCs w:val="21"/>
                <w:highlight w:val="none"/>
                <w14:textFill>
                  <w14:solidFill>
                    <w14:schemeClr w14:val="tx1"/>
                  </w14:solidFill>
                </w14:textFill>
              </w:rPr>
              <w:t>万元</w:t>
            </w:r>
            <w:r>
              <w:rPr>
                <w:rFonts w:hint="eastAsia" w:ascii="宋体" w:hAnsi="宋体" w:cs="宋体"/>
                <w:color w:val="000000" w:themeColor="text1"/>
                <w:szCs w:val="21"/>
                <w:highlight w:val="none"/>
                <w14:textFill>
                  <w14:solidFill>
                    <w14:schemeClr w14:val="tx1"/>
                  </w14:solidFill>
                </w14:textFill>
              </w:rPr>
              <w:t>，高于最高投标限价的投标文件按无效投标文件处理。</w:t>
            </w:r>
          </w:p>
        </w:tc>
      </w:tr>
      <w:tr w14:paraId="6A8C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pct"/>
            <w:vAlign w:val="center"/>
          </w:tcPr>
          <w:p w14:paraId="34379FF5">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3.3.1</w:t>
            </w:r>
          </w:p>
        </w:tc>
        <w:tc>
          <w:tcPr>
            <w:tcW w:w="1193" w:type="pct"/>
            <w:vAlign w:val="center"/>
          </w:tcPr>
          <w:p w14:paraId="550037E5">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投标有效期</w:t>
            </w:r>
          </w:p>
        </w:tc>
        <w:tc>
          <w:tcPr>
            <w:tcW w:w="3314" w:type="pct"/>
            <w:vAlign w:val="center"/>
          </w:tcPr>
          <w:p w14:paraId="046D2762">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szCs w:val="21"/>
                <w:highlight w:val="none"/>
                <w14:textFill>
                  <w14:solidFill>
                    <w14:schemeClr w14:val="tx1"/>
                  </w14:solidFill>
                </w14:textFill>
              </w:rPr>
            </w:pPr>
            <w:r>
              <w:rPr>
                <w:color w:val="000000" w:themeColor="text1"/>
                <w:szCs w:val="21"/>
                <w:highlight w:val="none"/>
                <w:u w:val="single"/>
                <w:lang w:val="zh-CN"/>
                <w14:textFill>
                  <w14:solidFill>
                    <w14:schemeClr w14:val="tx1"/>
                  </w14:solidFill>
                </w14:textFill>
              </w:rPr>
              <w:t>60</w:t>
            </w:r>
            <w:r>
              <w:rPr>
                <w:color w:val="000000" w:themeColor="text1"/>
                <w:szCs w:val="21"/>
                <w:highlight w:val="none"/>
                <w:lang w:val="zh-CN"/>
                <w14:textFill>
                  <w14:solidFill>
                    <w14:schemeClr w14:val="tx1"/>
                  </w14:solidFill>
                </w14:textFill>
              </w:rPr>
              <w:t>日（从投标截止之日算起）</w:t>
            </w:r>
          </w:p>
        </w:tc>
      </w:tr>
      <w:tr w14:paraId="12FF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pct"/>
            <w:vAlign w:val="center"/>
          </w:tcPr>
          <w:p w14:paraId="2D86C330">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3.6</w:t>
            </w:r>
          </w:p>
        </w:tc>
        <w:tc>
          <w:tcPr>
            <w:tcW w:w="1193" w:type="pct"/>
            <w:vAlign w:val="center"/>
          </w:tcPr>
          <w:p w14:paraId="25FADD68">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是否允许递交备选</w:t>
            </w:r>
          </w:p>
          <w:p w14:paraId="240CB7DF">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投标方案</w:t>
            </w:r>
          </w:p>
        </w:tc>
        <w:tc>
          <w:tcPr>
            <w:tcW w:w="3314" w:type="pct"/>
            <w:vAlign w:val="center"/>
          </w:tcPr>
          <w:p w14:paraId="16F6BEBB">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fldChar w:fldCharType="begin"/>
            </w:r>
            <w:r>
              <w:rPr>
                <w:color w:val="000000" w:themeColor="text1"/>
                <w:kern w:val="0"/>
                <w:szCs w:val="21"/>
                <w:highlight w:val="none"/>
                <w14:textFill>
                  <w14:solidFill>
                    <w14:schemeClr w14:val="tx1"/>
                  </w14:solidFill>
                </w14:textFill>
              </w:rPr>
              <w:instrText xml:space="preserve"> eq \o\ac(</w:instrText>
            </w:r>
            <w:r>
              <w:rPr>
                <w:color w:val="000000" w:themeColor="text1"/>
                <w:kern w:val="0"/>
                <w:position w:val="-4"/>
                <w:sz w:val="31"/>
                <w:szCs w:val="21"/>
                <w:highlight w:val="none"/>
                <w14:textFill>
                  <w14:solidFill>
                    <w14:schemeClr w14:val="tx1"/>
                  </w14:solidFill>
                </w14:textFill>
              </w:rPr>
              <w:instrText xml:space="preserve">□</w:instrText>
            </w:r>
            <w:r>
              <w:rPr>
                <w:rFonts w:hint="eastAsia"/>
                <w:color w:val="000000" w:themeColor="text1"/>
                <w:kern w:val="0"/>
                <w:position w:val="-4"/>
                <w:sz w:val="31"/>
                <w:szCs w:val="21"/>
                <w:highlight w:val="none"/>
                <w14:textFill>
                  <w14:solidFill>
                    <w14:schemeClr w14:val="tx1"/>
                  </w14:solidFill>
                </w14:textFill>
              </w:rPr>
              <w:instrText xml:space="preserve">,</w:instrText>
            </w:r>
            <w:r>
              <w:rPr>
                <w:rFonts w:hint="eastAsia"/>
                <w:color w:val="000000" w:themeColor="text1"/>
                <w:kern w:val="0"/>
                <w:szCs w:val="21"/>
                <w:highlight w:val="none"/>
                <w14:textFill>
                  <w14:solidFill>
                    <w14:schemeClr w14:val="tx1"/>
                  </w14:solidFill>
                </w14:textFill>
              </w:rPr>
              <w:instrText xml:space="preserve">√</w:instrText>
            </w:r>
            <w:r>
              <w:rPr>
                <w:color w:val="000000" w:themeColor="text1"/>
                <w:kern w:val="0"/>
                <w:szCs w:val="21"/>
                <w:highlight w:val="none"/>
                <w14:textFill>
                  <w14:solidFill>
                    <w14:schemeClr w14:val="tx1"/>
                  </w14:solidFill>
                </w14:textFill>
              </w:rPr>
              <w:instrText xml:space="preserve">)</w:instrText>
            </w:r>
            <w:r>
              <w:rPr>
                <w:color w:val="000000" w:themeColor="text1"/>
                <w:kern w:val="0"/>
                <w:szCs w:val="2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t>不允许</w:t>
            </w:r>
          </w:p>
        </w:tc>
      </w:tr>
      <w:tr w14:paraId="71E8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pct"/>
            <w:vAlign w:val="center"/>
          </w:tcPr>
          <w:p w14:paraId="78BAECAD">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4.2.1</w:t>
            </w:r>
          </w:p>
        </w:tc>
        <w:tc>
          <w:tcPr>
            <w:tcW w:w="1193" w:type="pct"/>
            <w:vAlign w:val="center"/>
          </w:tcPr>
          <w:p w14:paraId="361697D1">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投标文件递交截止</w:t>
            </w:r>
          </w:p>
          <w:p w14:paraId="1BCB0738">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时间和地点</w:t>
            </w:r>
          </w:p>
        </w:tc>
        <w:tc>
          <w:tcPr>
            <w:tcW w:w="3314" w:type="pct"/>
            <w:vAlign w:val="center"/>
          </w:tcPr>
          <w:p w14:paraId="56E09E19">
            <w:pPr>
              <w:keepNext w:val="0"/>
              <w:keepLines w:val="0"/>
              <w:pageBreakBefore w:val="0"/>
              <w:widowControl w:val="0"/>
              <w:kinsoku/>
              <w:wordWrap w:val="0"/>
              <w:overflowPunct/>
              <w:topLinePunct w:val="0"/>
              <w:autoSpaceDE/>
              <w:autoSpaceDN/>
              <w:bidi w:val="0"/>
              <w:spacing w:line="380" w:lineRule="atLeast"/>
              <w:jc w:val="left"/>
              <w:textAlignment w:val="auto"/>
              <w:rPr>
                <w:b/>
                <w:bCs/>
                <w:color w:val="000000" w:themeColor="text1"/>
                <w:kern w:val="0"/>
                <w:szCs w:val="21"/>
                <w:highlight w:val="none"/>
                <w14:textFill>
                  <w14:solidFill>
                    <w14:schemeClr w14:val="tx1"/>
                  </w14:solidFill>
                </w14:textFill>
              </w:rPr>
            </w:pPr>
            <w:r>
              <w:rPr>
                <w:b/>
                <w:bCs/>
                <w:color w:val="000000" w:themeColor="text1"/>
                <w:kern w:val="0"/>
                <w:szCs w:val="21"/>
                <w:highlight w:val="none"/>
                <w14:textFill>
                  <w14:solidFill>
                    <w14:schemeClr w14:val="tx1"/>
                  </w14:solidFill>
                </w14:textFill>
              </w:rPr>
              <w:t>1、投标文件提交截止时间：</w:t>
            </w:r>
          </w:p>
          <w:p w14:paraId="021E0C1D">
            <w:pPr>
              <w:keepNext w:val="0"/>
              <w:keepLines w:val="0"/>
              <w:pageBreakBefore w:val="0"/>
              <w:widowControl w:val="0"/>
              <w:kinsoku/>
              <w:wordWrap w:val="0"/>
              <w:overflowPunct/>
              <w:topLinePunct w:val="0"/>
              <w:autoSpaceDE/>
              <w:autoSpaceDN/>
              <w:bidi w:val="0"/>
              <w:spacing w:line="380" w:lineRule="atLeast"/>
              <w:jc w:val="left"/>
              <w:textAlignment w:val="auto"/>
              <w:rPr>
                <w:color w:val="000000" w:themeColor="text1"/>
                <w:szCs w:val="21"/>
                <w:highlight w:val="none"/>
                <w:u w:val="single"/>
                <w14:textFill>
                  <w14:solidFill>
                    <w14:schemeClr w14:val="tx1"/>
                  </w14:solidFill>
                </w14:textFill>
              </w:rPr>
            </w:pPr>
            <w:r>
              <w:rPr>
                <w:color w:val="000000" w:themeColor="text1"/>
                <w:szCs w:val="21"/>
                <w:highlight w:val="none"/>
                <w:u w:val="single"/>
                <w14:textFill>
                  <w14:solidFill>
                    <w14:schemeClr w14:val="tx1"/>
                  </w14:solidFill>
                </w14:textFill>
              </w:rPr>
              <w:t>202</w:t>
            </w:r>
            <w:r>
              <w:rPr>
                <w:rFonts w:hint="eastAsia"/>
                <w:color w:val="000000" w:themeColor="text1"/>
                <w:szCs w:val="21"/>
                <w:highlight w:val="none"/>
                <w:u w:val="single"/>
                <w:lang w:val="en-US" w:eastAsia="zh-CN"/>
                <w14:textFill>
                  <w14:solidFill>
                    <w14:schemeClr w14:val="tx1"/>
                  </w14:solidFill>
                </w14:textFill>
              </w:rPr>
              <w:t>5</w:t>
            </w:r>
            <w:r>
              <w:rPr>
                <w:color w:val="000000" w:themeColor="text1"/>
                <w:szCs w:val="21"/>
                <w:highlight w:val="none"/>
                <w14:textFill>
                  <w14:solidFill>
                    <w14:schemeClr w14:val="tx1"/>
                  </w14:solidFill>
                </w14:textFill>
              </w:rPr>
              <w:t>年</w:t>
            </w:r>
            <w:r>
              <w:rPr>
                <w:rFonts w:hint="eastAsia"/>
                <w:color w:val="000000" w:themeColor="text1"/>
                <w:szCs w:val="21"/>
                <w:highlight w:val="none"/>
                <w:u w:val="single"/>
                <w:lang w:val="en-US" w:eastAsia="zh-CN"/>
                <w14:textFill>
                  <w14:solidFill>
                    <w14:schemeClr w14:val="tx1"/>
                  </w14:solidFill>
                </w14:textFill>
              </w:rPr>
              <w:t xml:space="preserve"> 9</w:t>
            </w:r>
            <w:r>
              <w:rPr>
                <w:color w:val="000000" w:themeColor="text1"/>
                <w:szCs w:val="21"/>
                <w:highlight w:val="none"/>
                <w14:textFill>
                  <w14:solidFill>
                    <w14:schemeClr w14:val="tx1"/>
                  </w14:solidFill>
                </w14:textFill>
              </w:rPr>
              <w:t>月</w:t>
            </w:r>
            <w:r>
              <w:rPr>
                <w:rFonts w:hint="eastAsia"/>
                <w:color w:val="000000" w:themeColor="text1"/>
                <w:szCs w:val="21"/>
                <w:highlight w:val="none"/>
                <w:u w:val="single"/>
                <w:lang w:val="en-US" w:eastAsia="zh-CN"/>
                <w14:textFill>
                  <w14:solidFill>
                    <w14:schemeClr w14:val="tx1"/>
                  </w14:solidFill>
                </w14:textFill>
              </w:rPr>
              <w:t xml:space="preserve"> 4</w:t>
            </w:r>
            <w:r>
              <w:rPr>
                <w:color w:val="000000" w:themeColor="text1"/>
                <w:szCs w:val="21"/>
                <w:highlight w:val="none"/>
                <w14:textFill>
                  <w14:solidFill>
                    <w14:schemeClr w14:val="tx1"/>
                  </w14:solidFill>
                </w14:textFill>
              </w:rPr>
              <w:t>日</w:t>
            </w:r>
            <w:r>
              <w:rPr>
                <w:rFonts w:hint="eastAsia"/>
                <w:color w:val="000000" w:themeColor="text1"/>
                <w:szCs w:val="21"/>
                <w:highlight w:val="none"/>
                <w:u w:val="single"/>
                <w:lang w:val="en-US" w:eastAsia="zh-CN"/>
                <w14:textFill>
                  <w14:solidFill>
                    <w14:schemeClr w14:val="tx1"/>
                  </w14:solidFill>
                </w14:textFill>
              </w:rPr>
              <w:t>9</w:t>
            </w:r>
            <w:r>
              <w:rPr>
                <w:color w:val="000000" w:themeColor="text1"/>
                <w:szCs w:val="21"/>
                <w:highlight w:val="none"/>
                <w14:textFill>
                  <w14:solidFill>
                    <w14:schemeClr w14:val="tx1"/>
                  </w14:solidFill>
                </w14:textFill>
              </w:rPr>
              <w:t>时</w:t>
            </w:r>
            <w:r>
              <w:rPr>
                <w:rFonts w:hint="eastAsia"/>
                <w:color w:val="000000" w:themeColor="text1"/>
                <w:szCs w:val="21"/>
                <w:highlight w:val="none"/>
                <w:u w:val="single"/>
                <w:lang w:val="en-US" w:eastAsia="zh-CN"/>
                <w14:textFill>
                  <w14:solidFill>
                    <w14:schemeClr w14:val="tx1"/>
                  </w14:solidFill>
                </w14:textFill>
              </w:rPr>
              <w:t>00</w:t>
            </w:r>
            <w:r>
              <w:rPr>
                <w:color w:val="000000" w:themeColor="text1"/>
                <w:szCs w:val="21"/>
                <w:highlight w:val="none"/>
                <w14:textFill>
                  <w14:solidFill>
                    <w14:schemeClr w14:val="tx1"/>
                  </w14:solidFill>
                </w14:textFill>
              </w:rPr>
              <w:t>分</w:t>
            </w:r>
            <w:r>
              <w:rPr>
                <w:rFonts w:hint="eastAsia"/>
                <w:color w:val="000000" w:themeColor="text1"/>
                <w:szCs w:val="21"/>
                <w:highlight w:val="none"/>
                <w:u w:val="single"/>
                <w:lang w:val="en-US" w:eastAsia="zh-CN"/>
                <w14:textFill>
                  <w14:solidFill>
                    <w14:schemeClr w14:val="tx1"/>
                  </w14:solidFill>
                </w14:textFill>
              </w:rPr>
              <w:t>00</w:t>
            </w:r>
            <w:r>
              <w:rPr>
                <w:color w:val="000000" w:themeColor="text1"/>
                <w:szCs w:val="21"/>
                <w:highlight w:val="none"/>
                <w14:textFill>
                  <w14:solidFill>
                    <w14:schemeClr w14:val="tx1"/>
                  </w14:solidFill>
                </w14:textFill>
              </w:rPr>
              <w:t>秒；</w:t>
            </w:r>
          </w:p>
          <w:p w14:paraId="55C35EA5">
            <w:pPr>
              <w:keepNext w:val="0"/>
              <w:keepLines w:val="0"/>
              <w:pageBreakBefore w:val="0"/>
              <w:widowControl w:val="0"/>
              <w:kinsoku/>
              <w:wordWrap w:val="0"/>
              <w:overflowPunct/>
              <w:topLinePunct w:val="0"/>
              <w:autoSpaceDE/>
              <w:autoSpaceDN/>
              <w:bidi w:val="0"/>
              <w:spacing w:line="380" w:lineRule="atLeast"/>
              <w:jc w:val="left"/>
              <w:textAlignment w:val="auto"/>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2、投标文件提交地点：</w:t>
            </w:r>
          </w:p>
          <w:p w14:paraId="4312BCEE">
            <w:pPr>
              <w:keepNext w:val="0"/>
              <w:keepLines w:val="0"/>
              <w:pageBreakBefore w:val="0"/>
              <w:widowControl w:val="0"/>
              <w:kinsoku/>
              <w:wordWrap w:val="0"/>
              <w:overflowPunct/>
              <w:topLinePunct w:val="0"/>
              <w:autoSpaceDE/>
              <w:autoSpaceDN/>
              <w:bidi w:val="0"/>
              <w:spacing w:line="380" w:lineRule="atLeast"/>
              <w:jc w:val="left"/>
              <w:textAlignment w:val="auto"/>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（1）电子档上传地址：“投标文件制作工具”生成的xetf格式的电子档上传至新点电子交易平台-大丰采购系统（网址：https://www.etrading.cn/BREpointSSO/login/oauth2login）。   </w:t>
            </w:r>
          </w:p>
          <w:p w14:paraId="40E6D0E6">
            <w:pPr>
              <w:keepNext w:val="0"/>
              <w:keepLines w:val="0"/>
              <w:pageBreakBefore w:val="0"/>
              <w:widowControl w:val="0"/>
              <w:kinsoku/>
              <w:wordWrap w:val="0"/>
              <w:overflowPunct/>
              <w:topLinePunct w:val="0"/>
              <w:autoSpaceDE/>
              <w:autoSpaceDN/>
              <w:bidi w:val="0"/>
              <w:spacing w:line="380" w:lineRule="atLeast"/>
              <w:jc w:val="left"/>
              <w:textAlignment w:val="auto"/>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（2）投标人未在投标文件递交截止时间前将加密的投标文件上传至新点电子交易平台-大丰采购系统，视为放弃其投标。 </w:t>
            </w:r>
          </w:p>
        </w:tc>
      </w:tr>
      <w:tr w14:paraId="7B8F4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pct"/>
            <w:vAlign w:val="center"/>
          </w:tcPr>
          <w:p w14:paraId="0F7D4176">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4.2.3</w:t>
            </w:r>
          </w:p>
        </w:tc>
        <w:tc>
          <w:tcPr>
            <w:tcW w:w="1193" w:type="pct"/>
            <w:vAlign w:val="center"/>
          </w:tcPr>
          <w:p w14:paraId="5344F6CD">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是否退还投标文件</w:t>
            </w:r>
          </w:p>
        </w:tc>
        <w:tc>
          <w:tcPr>
            <w:tcW w:w="3314" w:type="pct"/>
            <w:vAlign w:val="center"/>
          </w:tcPr>
          <w:p w14:paraId="17BCF363">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fldChar w:fldCharType="begin"/>
            </w:r>
            <w:r>
              <w:rPr>
                <w:color w:val="000000" w:themeColor="text1"/>
                <w:kern w:val="0"/>
                <w:szCs w:val="21"/>
                <w:highlight w:val="none"/>
                <w14:textFill>
                  <w14:solidFill>
                    <w14:schemeClr w14:val="tx1"/>
                  </w14:solidFill>
                </w14:textFill>
              </w:rPr>
              <w:instrText xml:space="preserve"> eq \o\ac(</w:instrText>
            </w:r>
            <w:r>
              <w:rPr>
                <w:color w:val="000000" w:themeColor="text1"/>
                <w:kern w:val="0"/>
                <w:position w:val="-4"/>
                <w:sz w:val="31"/>
                <w:szCs w:val="21"/>
                <w:highlight w:val="none"/>
                <w14:textFill>
                  <w14:solidFill>
                    <w14:schemeClr w14:val="tx1"/>
                  </w14:solidFill>
                </w14:textFill>
              </w:rPr>
              <w:instrText xml:space="preserve">□</w:instrText>
            </w:r>
            <w:r>
              <w:rPr>
                <w:color w:val="000000" w:themeColor="text1"/>
                <w:kern w:val="0"/>
                <w:szCs w:val="21"/>
                <w:highlight w:val="none"/>
                <w14:textFill>
                  <w14:solidFill>
                    <w14:schemeClr w14:val="tx1"/>
                  </w14:solidFill>
                </w14:textFill>
              </w:rPr>
              <w:instrText xml:space="preserve">,√)</w:instrText>
            </w:r>
            <w:r>
              <w:rPr>
                <w:color w:val="000000" w:themeColor="text1"/>
                <w:kern w:val="0"/>
                <w:szCs w:val="2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t>否</w:t>
            </w:r>
          </w:p>
          <w:p w14:paraId="46D1D96F">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sym w:font="Wingdings 2" w:char="00A3"/>
            </w:r>
            <w:r>
              <w:rPr>
                <w:color w:val="000000" w:themeColor="text1"/>
                <w:szCs w:val="21"/>
                <w:highlight w:val="none"/>
                <w14:textFill>
                  <w14:solidFill>
                    <w14:schemeClr w14:val="tx1"/>
                  </w14:solidFill>
                </w14:textFill>
              </w:rPr>
              <w:t>是</w:t>
            </w:r>
          </w:p>
        </w:tc>
      </w:tr>
      <w:tr w14:paraId="1B67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pct"/>
            <w:vAlign w:val="center"/>
          </w:tcPr>
          <w:p w14:paraId="41C5457A">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w:t>
            </w:r>
            <w:r>
              <w:rPr>
                <w:rFonts w:hint="eastAsia"/>
                <w:color w:val="000000" w:themeColor="text1"/>
                <w:szCs w:val="21"/>
                <w:highlight w:val="none"/>
                <w14:textFill>
                  <w14:solidFill>
                    <w14:schemeClr w14:val="tx1"/>
                  </w14:solidFill>
                </w14:textFill>
              </w:rPr>
              <w:t>1.1</w:t>
            </w:r>
          </w:p>
        </w:tc>
        <w:tc>
          <w:tcPr>
            <w:tcW w:w="1193" w:type="pct"/>
            <w:vAlign w:val="center"/>
          </w:tcPr>
          <w:p w14:paraId="48072E37">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开标时间和地点</w:t>
            </w:r>
          </w:p>
        </w:tc>
        <w:tc>
          <w:tcPr>
            <w:tcW w:w="3314" w:type="pct"/>
            <w:vAlign w:val="center"/>
          </w:tcPr>
          <w:p w14:paraId="5684C61A">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开标时间：</w:t>
            </w:r>
            <w:r>
              <w:rPr>
                <w:color w:val="000000" w:themeColor="text1"/>
                <w:szCs w:val="21"/>
                <w:highlight w:val="none"/>
                <w:u w:val="single"/>
                <w14:textFill>
                  <w14:solidFill>
                    <w14:schemeClr w14:val="tx1"/>
                  </w14:solidFill>
                </w14:textFill>
              </w:rPr>
              <w:t>202</w:t>
            </w:r>
            <w:r>
              <w:rPr>
                <w:rFonts w:hint="eastAsia"/>
                <w:color w:val="000000" w:themeColor="text1"/>
                <w:szCs w:val="21"/>
                <w:highlight w:val="none"/>
                <w:u w:val="single"/>
                <w:lang w:val="en-US" w:eastAsia="zh-CN"/>
                <w14:textFill>
                  <w14:solidFill>
                    <w14:schemeClr w14:val="tx1"/>
                  </w14:solidFill>
                </w14:textFill>
              </w:rPr>
              <w:t>5</w:t>
            </w:r>
            <w:r>
              <w:rPr>
                <w:color w:val="000000" w:themeColor="text1"/>
                <w:szCs w:val="21"/>
                <w:highlight w:val="none"/>
                <w14:textFill>
                  <w14:solidFill>
                    <w14:schemeClr w14:val="tx1"/>
                  </w14:solidFill>
                </w14:textFill>
              </w:rPr>
              <w:t>年</w:t>
            </w:r>
            <w:r>
              <w:rPr>
                <w:rFonts w:hint="eastAsia"/>
                <w:color w:val="000000" w:themeColor="text1"/>
                <w:szCs w:val="21"/>
                <w:highlight w:val="none"/>
                <w:u w:val="single"/>
                <w:lang w:val="en-US" w:eastAsia="zh-CN"/>
                <w14:textFill>
                  <w14:solidFill>
                    <w14:schemeClr w14:val="tx1"/>
                  </w14:solidFill>
                </w14:textFill>
              </w:rPr>
              <w:t xml:space="preserve"> 9</w:t>
            </w:r>
            <w:r>
              <w:rPr>
                <w:color w:val="000000" w:themeColor="text1"/>
                <w:szCs w:val="21"/>
                <w:highlight w:val="none"/>
                <w14:textFill>
                  <w14:solidFill>
                    <w14:schemeClr w14:val="tx1"/>
                  </w14:solidFill>
                </w14:textFill>
              </w:rPr>
              <w:t>月</w:t>
            </w:r>
            <w:r>
              <w:rPr>
                <w:rFonts w:hint="eastAsia"/>
                <w:color w:val="000000" w:themeColor="text1"/>
                <w:szCs w:val="21"/>
                <w:highlight w:val="none"/>
                <w:u w:val="single"/>
                <w:lang w:val="en-US" w:eastAsia="zh-CN"/>
                <w14:textFill>
                  <w14:solidFill>
                    <w14:schemeClr w14:val="tx1"/>
                  </w14:solidFill>
                </w14:textFill>
              </w:rPr>
              <w:t xml:space="preserve"> 4</w:t>
            </w:r>
            <w:r>
              <w:rPr>
                <w:color w:val="000000" w:themeColor="text1"/>
                <w:szCs w:val="21"/>
                <w:highlight w:val="none"/>
                <w14:textFill>
                  <w14:solidFill>
                    <w14:schemeClr w14:val="tx1"/>
                  </w14:solidFill>
                </w14:textFill>
              </w:rPr>
              <w:t>日</w:t>
            </w:r>
            <w:r>
              <w:rPr>
                <w:rFonts w:hint="eastAsia"/>
                <w:color w:val="000000" w:themeColor="text1"/>
                <w:szCs w:val="21"/>
                <w:highlight w:val="none"/>
                <w:u w:val="single"/>
                <w:lang w:val="en-US" w:eastAsia="zh-CN"/>
                <w14:textFill>
                  <w14:solidFill>
                    <w14:schemeClr w14:val="tx1"/>
                  </w14:solidFill>
                </w14:textFill>
              </w:rPr>
              <w:t>9</w:t>
            </w:r>
            <w:r>
              <w:rPr>
                <w:color w:val="000000" w:themeColor="text1"/>
                <w:szCs w:val="21"/>
                <w:highlight w:val="none"/>
                <w14:textFill>
                  <w14:solidFill>
                    <w14:schemeClr w14:val="tx1"/>
                  </w14:solidFill>
                </w14:textFill>
              </w:rPr>
              <w:t>时</w:t>
            </w:r>
            <w:r>
              <w:rPr>
                <w:rFonts w:hint="eastAsia"/>
                <w:color w:val="000000" w:themeColor="text1"/>
                <w:szCs w:val="21"/>
                <w:highlight w:val="none"/>
                <w:u w:val="single"/>
                <w:lang w:val="en-US" w:eastAsia="zh-CN"/>
                <w14:textFill>
                  <w14:solidFill>
                    <w14:schemeClr w14:val="tx1"/>
                  </w14:solidFill>
                </w14:textFill>
              </w:rPr>
              <w:t>00</w:t>
            </w:r>
            <w:r>
              <w:rPr>
                <w:color w:val="000000" w:themeColor="text1"/>
                <w:szCs w:val="21"/>
                <w:highlight w:val="none"/>
                <w14:textFill>
                  <w14:solidFill>
                    <w14:schemeClr w14:val="tx1"/>
                  </w14:solidFill>
                </w14:textFill>
              </w:rPr>
              <w:t>分</w:t>
            </w:r>
            <w:r>
              <w:rPr>
                <w:color w:val="000000" w:themeColor="text1"/>
                <w:szCs w:val="21"/>
                <w:highlight w:val="none"/>
                <w:u w:val="single"/>
                <w14:textFill>
                  <w14:solidFill>
                    <w14:schemeClr w14:val="tx1"/>
                  </w14:solidFill>
                </w14:textFill>
              </w:rPr>
              <w:t xml:space="preserve"> 00</w:t>
            </w:r>
            <w:r>
              <w:rPr>
                <w:color w:val="000000" w:themeColor="text1"/>
                <w:szCs w:val="21"/>
                <w:highlight w:val="none"/>
                <w14:textFill>
                  <w14:solidFill>
                    <w14:schemeClr w14:val="tx1"/>
                  </w14:solidFill>
                </w14:textFill>
              </w:rPr>
              <w:t>秒</w:t>
            </w:r>
            <w:r>
              <w:rPr>
                <w:rFonts w:hint="eastAsia"/>
                <w:color w:val="000000" w:themeColor="text1"/>
                <w:szCs w:val="21"/>
                <w:highlight w:val="none"/>
                <w14:textFill>
                  <w14:solidFill>
                    <w14:schemeClr w14:val="tx1"/>
                  </w14:solidFill>
                </w14:textFill>
              </w:rPr>
              <w:t>；</w:t>
            </w:r>
          </w:p>
          <w:p w14:paraId="3EB0B048">
            <w:pPr>
              <w:keepNext w:val="0"/>
              <w:keepLines w:val="0"/>
              <w:pageBreakBefore w:val="0"/>
              <w:widowControl w:val="0"/>
              <w:kinsoku/>
              <w:wordWrap w:val="0"/>
              <w:overflowPunct/>
              <w:topLinePunct w:val="0"/>
              <w:autoSpaceDE/>
              <w:autoSpaceDN/>
              <w:bidi w:val="0"/>
              <w:spacing w:line="380" w:lineRule="atLeast"/>
              <w:jc w:val="left"/>
              <w:textAlignment w:val="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开标地点：开标大厅系统http://js.etrading.cn/EpointBidOpening/bidopeninghallaction/hall/login。</w:t>
            </w:r>
          </w:p>
        </w:tc>
      </w:tr>
      <w:tr w14:paraId="13DA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pct"/>
            <w:vAlign w:val="center"/>
          </w:tcPr>
          <w:p w14:paraId="6FF30BD0">
            <w:pPr>
              <w:keepNext w:val="0"/>
              <w:keepLines w:val="0"/>
              <w:pageBreakBefore w:val="0"/>
              <w:widowControl w:val="0"/>
              <w:kinsoku/>
              <w:wordWrap w:val="0"/>
              <w:overflowPunct/>
              <w:topLinePunct w:val="0"/>
              <w:autoSpaceDE/>
              <w:autoSpaceDN/>
              <w:bidi w:val="0"/>
              <w:adjustRightInd w:val="0"/>
              <w:snapToGrid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5.1.</w:t>
            </w:r>
            <w:r>
              <w:rPr>
                <w:rFonts w:hint="eastAsia"/>
                <w:color w:val="000000" w:themeColor="text1"/>
                <w:szCs w:val="21"/>
                <w:highlight w:val="none"/>
                <w14:textFill>
                  <w14:solidFill>
                    <w14:schemeClr w14:val="tx1"/>
                  </w14:solidFill>
                </w14:textFill>
              </w:rPr>
              <w:t>2</w:t>
            </w:r>
          </w:p>
        </w:tc>
        <w:tc>
          <w:tcPr>
            <w:tcW w:w="1193" w:type="pct"/>
            <w:vAlign w:val="center"/>
          </w:tcPr>
          <w:p w14:paraId="5A192E23">
            <w:pPr>
              <w:keepNext w:val="0"/>
              <w:keepLines w:val="0"/>
              <w:pageBreakBefore w:val="0"/>
              <w:widowControl w:val="0"/>
              <w:kinsoku/>
              <w:wordWrap w:val="0"/>
              <w:overflowPunct/>
              <w:topLinePunct w:val="0"/>
              <w:autoSpaceDE/>
              <w:autoSpaceDN/>
              <w:bidi w:val="0"/>
              <w:adjustRightInd w:val="0"/>
              <w:snapToGrid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参加开标会的</w:t>
            </w:r>
          </w:p>
          <w:p w14:paraId="130BCD0F">
            <w:pPr>
              <w:keepNext w:val="0"/>
              <w:keepLines w:val="0"/>
              <w:pageBreakBefore w:val="0"/>
              <w:widowControl w:val="0"/>
              <w:kinsoku/>
              <w:wordWrap w:val="0"/>
              <w:overflowPunct/>
              <w:topLinePunct w:val="0"/>
              <w:autoSpaceDE/>
              <w:autoSpaceDN/>
              <w:bidi w:val="0"/>
              <w:adjustRightInd w:val="0"/>
              <w:snapToGrid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投标人代表</w:t>
            </w:r>
          </w:p>
        </w:tc>
        <w:tc>
          <w:tcPr>
            <w:tcW w:w="3314" w:type="pct"/>
            <w:vAlign w:val="center"/>
          </w:tcPr>
          <w:p w14:paraId="46C671D8">
            <w:pPr>
              <w:keepNext w:val="0"/>
              <w:keepLines w:val="0"/>
              <w:pageBreakBefore w:val="0"/>
              <w:widowControl w:val="0"/>
              <w:kinsoku/>
              <w:wordWrap w:val="0"/>
              <w:overflowPunct/>
              <w:topLinePunct w:val="0"/>
              <w:autoSpaceDE/>
              <w:autoSpaceDN/>
              <w:bidi w:val="0"/>
              <w:spacing w:line="380" w:lineRule="atLeast"/>
              <w:jc w:val="left"/>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本项目实行不见面开标，各投标人（供应商）的授权委托人或</w:t>
            </w:r>
            <w:r>
              <w:rPr>
                <w:rFonts w:hint="eastAsia"/>
                <w:color w:val="000000" w:themeColor="text1"/>
                <w:szCs w:val="21"/>
                <w:highlight w:val="none"/>
                <w14:textFill>
                  <w14:solidFill>
                    <w14:schemeClr w14:val="tx1"/>
                  </w14:solidFill>
                </w14:textFill>
              </w:rPr>
              <w:t>法定代表人</w:t>
            </w:r>
            <w:r>
              <w:rPr>
                <w:color w:val="000000" w:themeColor="text1"/>
                <w:szCs w:val="21"/>
                <w:highlight w:val="none"/>
                <w14:textFill>
                  <w14:solidFill>
                    <w14:schemeClr w14:val="tx1"/>
                  </w14:solidFill>
                </w14:textFill>
              </w:rPr>
              <w:t>应在投标文件提交截止时间前提前登入“开标大厅系统”（步骤：登入-投标人-CA登录-江苏省CA），到达投标文件提交截止时间后，首先进入开标程序中的投标文件解密会议，然后按系统提示完成投标文件解密。（解密完成后投标人可自行决定是否继续参加开（唱）标会议，投标人未参加开标的，视同认可开标结果）。投标人代表进入相应标段的开标会议区收听观看实时音视频交互效果并及时在讨论组中反馈，未按时加入开标会议区并完成扫码登录操作的或未能在开标会议区内全程参与交互的，视为放弃交互和放弃对开标全过程提疑的权利，投标人将无法看到解密指令、无效投标及澄清、开（唱）标等实时情况，并承担由此导致的一切不利后果。</w:t>
            </w:r>
          </w:p>
          <w:p w14:paraId="460A4A8D">
            <w:pPr>
              <w:keepNext w:val="0"/>
              <w:keepLines w:val="0"/>
              <w:pageBreakBefore w:val="0"/>
              <w:widowControl w:val="0"/>
              <w:kinsoku/>
              <w:wordWrap w:val="0"/>
              <w:overflowPunct/>
              <w:topLinePunct w:val="0"/>
              <w:autoSpaceDE/>
              <w:autoSpaceDN/>
              <w:bidi w:val="0"/>
              <w:spacing w:line="380" w:lineRule="atLeast"/>
              <w:jc w:val="left"/>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开评标全过程中，各投标人参与远程交互的授权委托人或</w:t>
            </w:r>
            <w:r>
              <w:rPr>
                <w:rFonts w:hint="eastAsia"/>
                <w:color w:val="000000" w:themeColor="text1"/>
                <w:szCs w:val="21"/>
                <w:highlight w:val="none"/>
                <w14:textFill>
                  <w14:solidFill>
                    <w14:schemeClr w14:val="tx1"/>
                  </w14:solidFill>
                </w14:textFill>
              </w:rPr>
              <w:t>法定代表人</w:t>
            </w:r>
            <w:r>
              <w:rPr>
                <w:color w:val="000000" w:themeColor="text1"/>
                <w:szCs w:val="21"/>
                <w:highlight w:val="none"/>
                <w14:textFill>
                  <w14:solidFill>
                    <w14:schemeClr w14:val="tx1"/>
                  </w14:solidFill>
                </w14:textFill>
              </w:rPr>
              <w:t>应始终为同一个人，中途不得更换，在废标、澄清、提疑、传送文件等特殊情况下需要交互时，投标人一端参与交互的人员将均被视为是投标人的授权委托人或</w:t>
            </w:r>
            <w:r>
              <w:rPr>
                <w:rFonts w:hint="eastAsia"/>
                <w:color w:val="000000" w:themeColor="text1"/>
                <w:szCs w:val="21"/>
                <w:highlight w:val="none"/>
                <w14:textFill>
                  <w14:solidFill>
                    <w14:schemeClr w14:val="tx1"/>
                  </w14:solidFill>
                </w14:textFill>
              </w:rPr>
              <w:t>法定代表人</w:t>
            </w:r>
            <w:r>
              <w:rPr>
                <w:color w:val="000000" w:themeColor="text1"/>
                <w:szCs w:val="21"/>
                <w:highlight w:val="none"/>
                <w14:textFill>
                  <w14:solidFill>
                    <w14:schemeClr w14:val="tx1"/>
                  </w14:solidFill>
                </w14:textFill>
              </w:rPr>
              <w:t>，投标人不得以不承认交互人员的资格或身份等为借口，投标人自行承担随意更换人员所导致的一切不利后果。</w:t>
            </w:r>
          </w:p>
        </w:tc>
      </w:tr>
      <w:tr w14:paraId="366C6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pct"/>
            <w:vAlign w:val="center"/>
          </w:tcPr>
          <w:p w14:paraId="51423F3F">
            <w:pPr>
              <w:keepNext w:val="0"/>
              <w:keepLines w:val="0"/>
              <w:pageBreakBefore w:val="0"/>
              <w:widowControl w:val="0"/>
              <w:kinsoku/>
              <w:wordWrap w:val="0"/>
              <w:overflowPunct/>
              <w:topLinePunct w:val="0"/>
              <w:autoSpaceDE/>
              <w:autoSpaceDN/>
              <w:bidi w:val="0"/>
              <w:adjustRightInd w:val="0"/>
              <w:snapToGrid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5.2</w:t>
            </w:r>
          </w:p>
        </w:tc>
        <w:tc>
          <w:tcPr>
            <w:tcW w:w="1193" w:type="pct"/>
            <w:vAlign w:val="center"/>
          </w:tcPr>
          <w:p w14:paraId="75813C55">
            <w:pPr>
              <w:keepNext w:val="0"/>
              <w:keepLines w:val="0"/>
              <w:pageBreakBefore w:val="0"/>
              <w:widowControl w:val="0"/>
              <w:kinsoku/>
              <w:wordWrap w:val="0"/>
              <w:overflowPunct/>
              <w:topLinePunct w:val="0"/>
              <w:autoSpaceDE/>
              <w:autoSpaceDN/>
              <w:bidi w:val="0"/>
              <w:adjustRightInd w:val="0"/>
              <w:snapToGrid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开标程序</w:t>
            </w:r>
          </w:p>
        </w:tc>
        <w:tc>
          <w:tcPr>
            <w:tcW w:w="3314" w:type="pct"/>
            <w:vAlign w:val="center"/>
          </w:tcPr>
          <w:p w14:paraId="79F49105">
            <w:pPr>
              <w:keepNext w:val="0"/>
              <w:keepLines w:val="0"/>
              <w:pageBreakBefore w:val="0"/>
              <w:widowControl w:val="0"/>
              <w:kinsoku/>
              <w:wordWrap w:val="0"/>
              <w:overflowPunct/>
              <w:topLinePunct w:val="0"/>
              <w:autoSpaceDE/>
              <w:autoSpaceDN/>
              <w:bidi w:val="0"/>
              <w:spacing w:line="380" w:lineRule="atLeast"/>
              <w:jc w:val="left"/>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详见投标</w:t>
            </w:r>
            <w:r>
              <w:rPr>
                <w:rFonts w:hint="eastAsia"/>
                <w:color w:val="000000" w:themeColor="text1"/>
                <w:szCs w:val="21"/>
                <w:highlight w:val="none"/>
                <w14:textFill>
                  <w14:solidFill>
                    <w14:schemeClr w14:val="tx1"/>
                  </w14:solidFill>
                </w14:textFill>
              </w:rPr>
              <w:t>人</w:t>
            </w:r>
            <w:r>
              <w:rPr>
                <w:color w:val="000000" w:themeColor="text1"/>
                <w:szCs w:val="21"/>
                <w:highlight w:val="none"/>
                <w14:textFill>
                  <w14:solidFill>
                    <w14:schemeClr w14:val="tx1"/>
                  </w14:solidFill>
                </w14:textFill>
              </w:rPr>
              <w:t xml:space="preserve">须知5.2条 </w:t>
            </w:r>
          </w:p>
        </w:tc>
      </w:tr>
      <w:tr w14:paraId="5EF52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pct"/>
            <w:vAlign w:val="center"/>
          </w:tcPr>
          <w:p w14:paraId="78DE67B7">
            <w:pPr>
              <w:keepNext w:val="0"/>
              <w:keepLines w:val="0"/>
              <w:pageBreakBefore w:val="0"/>
              <w:widowControl w:val="0"/>
              <w:kinsoku/>
              <w:wordWrap w:val="0"/>
              <w:overflowPunct/>
              <w:topLinePunct w:val="0"/>
              <w:autoSpaceDE/>
              <w:autoSpaceDN/>
              <w:bidi w:val="0"/>
              <w:adjustRightInd w:val="0"/>
              <w:snapToGrid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5.2.</w:t>
            </w:r>
            <w:r>
              <w:rPr>
                <w:rFonts w:hint="eastAsia"/>
                <w:color w:val="000000" w:themeColor="text1"/>
                <w:szCs w:val="21"/>
                <w:highlight w:val="none"/>
                <w14:textFill>
                  <w14:solidFill>
                    <w14:schemeClr w14:val="tx1"/>
                  </w14:solidFill>
                </w14:textFill>
              </w:rPr>
              <w:t>1</w:t>
            </w:r>
          </w:p>
        </w:tc>
        <w:tc>
          <w:tcPr>
            <w:tcW w:w="1193" w:type="pct"/>
            <w:vAlign w:val="center"/>
          </w:tcPr>
          <w:p w14:paraId="073DD045">
            <w:pPr>
              <w:keepNext w:val="0"/>
              <w:keepLines w:val="0"/>
              <w:pageBreakBefore w:val="0"/>
              <w:widowControl w:val="0"/>
              <w:kinsoku/>
              <w:wordWrap w:val="0"/>
              <w:overflowPunct/>
              <w:topLinePunct w:val="0"/>
              <w:autoSpaceDE/>
              <w:autoSpaceDN/>
              <w:bidi w:val="0"/>
              <w:adjustRightInd w:val="0"/>
              <w:snapToGrid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投标文件解密时间</w:t>
            </w:r>
          </w:p>
        </w:tc>
        <w:tc>
          <w:tcPr>
            <w:tcW w:w="3314" w:type="pct"/>
            <w:vAlign w:val="center"/>
          </w:tcPr>
          <w:p w14:paraId="696B930C">
            <w:pPr>
              <w:keepNext w:val="0"/>
              <w:keepLines w:val="0"/>
              <w:pageBreakBefore w:val="0"/>
              <w:widowControl w:val="0"/>
              <w:kinsoku/>
              <w:wordWrap w:val="0"/>
              <w:overflowPunct/>
              <w:topLinePunct w:val="0"/>
              <w:autoSpaceDE/>
              <w:autoSpaceDN/>
              <w:bidi w:val="0"/>
              <w:spacing w:line="380" w:lineRule="atLeast"/>
              <w:jc w:val="left"/>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人解密时间限定在开标大厅系统发出投标文件解密指令后15分钟内完成，因投标人原因未能解密、解密失败或解密超时，视为投标人放弃本次投标（无效投标），系统内投标文件将被退回；因招标人原因或网上招投标平台发生故障，导致无法按时完成投标文件解密或开、评标工作无法进行的，可根据实际情况相应延迟解密时间或调整开、评标时间。</w:t>
            </w:r>
            <w:r>
              <w:rPr>
                <w:b/>
                <w:bCs/>
                <w:color w:val="000000" w:themeColor="text1"/>
                <w:szCs w:val="21"/>
                <w:highlight w:val="none"/>
                <w14:textFill>
                  <w14:solidFill>
                    <w14:schemeClr w14:val="tx1"/>
                  </w14:solidFill>
                </w14:textFill>
              </w:rPr>
              <w:t>（友情提示：进行解密的时候，应使用生成投标文件的CA锁进行操作，否则无法完成解密。）</w:t>
            </w:r>
          </w:p>
        </w:tc>
      </w:tr>
      <w:tr w14:paraId="5F020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pct"/>
            <w:vAlign w:val="center"/>
          </w:tcPr>
          <w:p w14:paraId="7D9D25F1">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6.1</w:t>
            </w:r>
          </w:p>
        </w:tc>
        <w:tc>
          <w:tcPr>
            <w:tcW w:w="1193" w:type="pct"/>
            <w:vAlign w:val="center"/>
          </w:tcPr>
          <w:p w14:paraId="10C5840B">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评标委员会的组建</w:t>
            </w:r>
          </w:p>
        </w:tc>
        <w:tc>
          <w:tcPr>
            <w:tcW w:w="3314" w:type="pct"/>
            <w:vAlign w:val="center"/>
          </w:tcPr>
          <w:p w14:paraId="04674648">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评标委员会构成：</w:t>
            </w:r>
            <w:r>
              <w:rPr>
                <w:b/>
                <w:bCs/>
                <w:color w:val="000000" w:themeColor="text1"/>
                <w:szCs w:val="21"/>
                <w:highlight w:val="none"/>
                <w:u w:val="single"/>
                <w14:textFill>
                  <w14:solidFill>
                    <w14:schemeClr w14:val="tx1"/>
                  </w14:solidFill>
                </w14:textFill>
              </w:rPr>
              <w:t>5人或5人以上单数</w:t>
            </w:r>
            <w:r>
              <w:rPr>
                <w:color w:val="000000" w:themeColor="text1"/>
                <w:szCs w:val="21"/>
                <w:highlight w:val="none"/>
                <w14:textFill>
                  <w14:solidFill>
                    <w14:schemeClr w14:val="tx1"/>
                  </w14:solidFill>
                </w14:textFill>
              </w:rPr>
              <w:t>；</w:t>
            </w:r>
          </w:p>
          <w:p w14:paraId="08FFF90C">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评标专家确定方式：电脑随机抽取</w:t>
            </w:r>
          </w:p>
        </w:tc>
      </w:tr>
      <w:tr w14:paraId="0CF3B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pct"/>
            <w:vAlign w:val="center"/>
          </w:tcPr>
          <w:p w14:paraId="6AD5337F">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6.3</w:t>
            </w:r>
          </w:p>
        </w:tc>
        <w:tc>
          <w:tcPr>
            <w:tcW w:w="1193" w:type="pct"/>
            <w:vAlign w:val="center"/>
          </w:tcPr>
          <w:p w14:paraId="10257A10">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评标办法</w:t>
            </w:r>
          </w:p>
        </w:tc>
        <w:tc>
          <w:tcPr>
            <w:tcW w:w="3314" w:type="pct"/>
            <w:vAlign w:val="center"/>
          </w:tcPr>
          <w:p w14:paraId="08C87316">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综合评分法</w:t>
            </w:r>
          </w:p>
        </w:tc>
      </w:tr>
      <w:tr w14:paraId="68DB1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pct"/>
            <w:vAlign w:val="center"/>
          </w:tcPr>
          <w:p w14:paraId="7D37709A">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8.1</w:t>
            </w:r>
          </w:p>
        </w:tc>
        <w:tc>
          <w:tcPr>
            <w:tcW w:w="1193" w:type="pct"/>
            <w:vAlign w:val="center"/>
          </w:tcPr>
          <w:p w14:paraId="52E7B922">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是否授权评标</w:t>
            </w:r>
          </w:p>
          <w:p w14:paraId="1EB62A7D">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委员会确定中标人</w:t>
            </w:r>
          </w:p>
        </w:tc>
        <w:tc>
          <w:tcPr>
            <w:tcW w:w="3314" w:type="pct"/>
            <w:vAlign w:val="center"/>
          </w:tcPr>
          <w:p w14:paraId="4D88CEC8">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sym w:font="Wingdings 2" w:char="00A3"/>
            </w:r>
          </w:p>
          <w:p w14:paraId="1471B28A">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szCs w:val="21"/>
                <w:highlight w:val="none"/>
                <w:u w:val="single"/>
                <w14:textFill>
                  <w14:solidFill>
                    <w14:schemeClr w14:val="tx1"/>
                  </w14:solidFill>
                </w14:textFill>
              </w:rPr>
            </w:pPr>
            <w:r>
              <w:rPr>
                <w:color w:val="000000" w:themeColor="text1"/>
                <w:kern w:val="0"/>
                <w:szCs w:val="21"/>
                <w:highlight w:val="none"/>
                <w14:textFill>
                  <w14:solidFill>
                    <w14:schemeClr w14:val="tx1"/>
                  </w14:solidFill>
                </w14:textFill>
              </w:rPr>
              <w:fldChar w:fldCharType="begin"/>
            </w:r>
            <w:r>
              <w:rPr>
                <w:color w:val="000000" w:themeColor="text1"/>
                <w:kern w:val="0"/>
                <w:szCs w:val="21"/>
                <w:highlight w:val="none"/>
                <w14:textFill>
                  <w14:solidFill>
                    <w14:schemeClr w14:val="tx1"/>
                  </w14:solidFill>
                </w14:textFill>
              </w:rPr>
              <w:instrText xml:space="preserve"> eq \o\ac(</w:instrText>
            </w:r>
            <w:r>
              <w:rPr>
                <w:color w:val="000000" w:themeColor="text1"/>
                <w:kern w:val="0"/>
                <w:position w:val="-4"/>
                <w:sz w:val="31"/>
                <w:szCs w:val="21"/>
                <w:highlight w:val="none"/>
                <w14:textFill>
                  <w14:solidFill>
                    <w14:schemeClr w14:val="tx1"/>
                  </w14:solidFill>
                </w14:textFill>
              </w:rPr>
              <w:instrText xml:space="preserve">□</w:instrText>
            </w:r>
            <w:r>
              <w:rPr>
                <w:color w:val="000000" w:themeColor="text1"/>
                <w:kern w:val="0"/>
                <w:szCs w:val="21"/>
                <w:highlight w:val="none"/>
                <w14:textFill>
                  <w14:solidFill>
                    <w14:schemeClr w14:val="tx1"/>
                  </w14:solidFill>
                </w14:textFill>
              </w:rPr>
              <w:instrText xml:space="preserve">,√)</w:instrText>
            </w:r>
            <w:r>
              <w:rPr>
                <w:color w:val="000000" w:themeColor="text1"/>
                <w:kern w:val="0"/>
                <w:szCs w:val="2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t>否</w:t>
            </w:r>
            <w:r>
              <w:rPr>
                <w:rFonts w:hint="eastAsia"/>
                <w:color w:val="000000" w:themeColor="text1"/>
                <w:szCs w:val="21"/>
                <w:highlight w:val="none"/>
                <w14:textFill>
                  <w14:solidFill>
                    <w14:schemeClr w14:val="tx1"/>
                  </w14:solidFill>
                </w14:textFill>
              </w:rPr>
              <w:t>，推荐1名中标候选人</w:t>
            </w:r>
          </w:p>
        </w:tc>
      </w:tr>
      <w:tr w14:paraId="657B0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491" w:type="pct"/>
            <w:vAlign w:val="center"/>
          </w:tcPr>
          <w:p w14:paraId="371408F0">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8.3</w:t>
            </w:r>
          </w:p>
        </w:tc>
        <w:tc>
          <w:tcPr>
            <w:tcW w:w="1193" w:type="pct"/>
            <w:vAlign w:val="center"/>
          </w:tcPr>
          <w:p w14:paraId="16A7B941">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履约保证金</w:t>
            </w:r>
          </w:p>
        </w:tc>
        <w:tc>
          <w:tcPr>
            <w:tcW w:w="3314" w:type="pct"/>
            <w:vAlign w:val="center"/>
          </w:tcPr>
          <w:p w14:paraId="3B7AB2D4">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kern w:val="1"/>
                <w:szCs w:val="21"/>
                <w:highlight w:val="none"/>
                <w14:textFill>
                  <w14:solidFill>
                    <w14:schemeClr w14:val="tx1"/>
                  </w14:solidFill>
                </w14:textFill>
              </w:rPr>
            </w:pPr>
            <w:r>
              <w:rPr>
                <w:color w:val="000000" w:themeColor="text1"/>
                <w:kern w:val="1"/>
                <w:szCs w:val="21"/>
                <w:highlight w:val="none"/>
                <w14:textFill>
                  <w14:solidFill>
                    <w14:schemeClr w14:val="tx1"/>
                  </w14:solidFill>
                </w14:textFill>
              </w:rPr>
              <w:t>履约保证金的形式：转账、履约担保或者投标人基本账户开户行出具的银行保函、保险公司保险单。</w:t>
            </w:r>
          </w:p>
          <w:p w14:paraId="6D2B3C0A">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kern w:val="1"/>
                <w:szCs w:val="21"/>
                <w:highlight w:val="none"/>
                <w14:textFill>
                  <w14:solidFill>
                    <w14:schemeClr w14:val="tx1"/>
                  </w14:solidFill>
                </w14:textFill>
              </w:rPr>
            </w:pPr>
            <w:r>
              <w:rPr>
                <w:color w:val="000000" w:themeColor="text1"/>
                <w:kern w:val="1"/>
                <w:szCs w:val="21"/>
                <w:highlight w:val="none"/>
                <w14:textFill>
                  <w14:solidFill>
                    <w14:schemeClr w14:val="tx1"/>
                  </w14:solidFill>
                </w14:textFill>
              </w:rPr>
              <w:t>履约保证金的金额：中标价的10%。</w:t>
            </w:r>
          </w:p>
          <w:p w14:paraId="2EAB4159">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kern w:val="1"/>
                <w:szCs w:val="21"/>
                <w:highlight w:val="none"/>
                <w14:textFill>
                  <w14:solidFill>
                    <w14:schemeClr w14:val="tx1"/>
                  </w14:solidFill>
                </w14:textFill>
              </w:rPr>
            </w:pPr>
            <w:r>
              <w:rPr>
                <w:color w:val="000000" w:themeColor="text1"/>
                <w:kern w:val="1"/>
                <w:szCs w:val="21"/>
                <w:highlight w:val="none"/>
                <w14:textFill>
                  <w14:solidFill>
                    <w14:schemeClr w14:val="tx1"/>
                  </w14:solidFill>
                </w14:textFill>
              </w:rPr>
              <w:t>注：对提供＂信用中国</w:t>
            </w:r>
            <w:r>
              <w:rPr>
                <w:rFonts w:hint="eastAsia"/>
                <w:color w:val="000000" w:themeColor="text1"/>
                <w:kern w:val="1"/>
                <w:szCs w:val="21"/>
                <w:highlight w:val="none"/>
                <w:lang w:eastAsia="zh-CN"/>
                <w14:textFill>
                  <w14:solidFill>
                    <w14:schemeClr w14:val="tx1"/>
                  </w14:solidFill>
                </w14:textFill>
              </w:rPr>
              <w:t>（</w:t>
            </w:r>
            <w:r>
              <w:rPr>
                <w:color w:val="000000" w:themeColor="text1"/>
                <w:kern w:val="1"/>
                <w:szCs w:val="21"/>
                <w:highlight w:val="none"/>
                <w14:textFill>
                  <w14:solidFill>
                    <w14:schemeClr w14:val="tx1"/>
                  </w14:solidFill>
                </w14:textFill>
              </w:rPr>
              <w:t>江苏盐城</w:t>
            </w:r>
            <w:r>
              <w:rPr>
                <w:rFonts w:hint="eastAsia"/>
                <w:color w:val="000000" w:themeColor="text1"/>
                <w:kern w:val="1"/>
                <w:szCs w:val="21"/>
                <w:highlight w:val="none"/>
                <w:lang w:eastAsia="zh-CN"/>
                <w14:textFill>
                  <w14:solidFill>
                    <w14:schemeClr w14:val="tx1"/>
                  </w14:solidFill>
                </w14:textFill>
              </w:rPr>
              <w:t>）</w:t>
            </w:r>
            <w:r>
              <w:rPr>
                <w:color w:val="000000" w:themeColor="text1"/>
                <w:kern w:val="1"/>
                <w:szCs w:val="21"/>
                <w:highlight w:val="none"/>
                <w14:textFill>
                  <w14:solidFill>
                    <w14:schemeClr w14:val="tx1"/>
                  </w14:solidFill>
                </w14:textFill>
              </w:rPr>
              <w:t>＂备案的第三方信用报告AA评级及以上采购供应商，免收履约保证金或履约保证金缴纳比例降低，合同订立前需提供相关证明材料</w:t>
            </w:r>
            <w:r>
              <w:rPr>
                <w:rFonts w:hint="eastAsia"/>
                <w:color w:val="000000" w:themeColor="text1"/>
                <w:kern w:val="1"/>
                <w:szCs w:val="21"/>
                <w:highlight w:val="none"/>
                <w14:textFill>
                  <w14:solidFill>
                    <w14:schemeClr w14:val="tx1"/>
                  </w14:solidFill>
                </w14:textFill>
              </w:rPr>
              <w:t>。</w:t>
            </w:r>
          </w:p>
          <w:p w14:paraId="7AF6B497">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kern w:val="1"/>
                <w:szCs w:val="21"/>
                <w:highlight w:val="none"/>
                <w14:textFill>
                  <w14:solidFill>
                    <w14:schemeClr w14:val="tx1"/>
                  </w14:solidFill>
                </w14:textFill>
              </w:rPr>
            </w:pPr>
            <w:r>
              <w:rPr>
                <w:color w:val="000000" w:themeColor="text1"/>
                <w:kern w:val="1"/>
                <w:szCs w:val="21"/>
                <w:highlight w:val="none"/>
                <w14:textFill>
                  <w14:solidFill>
                    <w14:schemeClr w14:val="tx1"/>
                  </w14:solidFill>
                </w14:textFill>
              </w:rPr>
              <w:t>履约保证金退还：</w:t>
            </w:r>
            <w:r>
              <w:rPr>
                <w:rFonts w:hint="eastAsia" w:ascii="宋体" w:hAnsi="宋体"/>
                <w:color w:val="000000" w:themeColor="text1"/>
                <w:szCs w:val="21"/>
                <w:highlight w:val="none"/>
                <w14:textFill>
                  <w14:solidFill>
                    <w14:schemeClr w14:val="tx1"/>
                  </w14:solidFill>
                </w14:textFill>
              </w:rPr>
              <w:t>完成所有项目经验收合格投入运行一个月无质量问题后无息退还</w:t>
            </w:r>
            <w:r>
              <w:rPr>
                <w:color w:val="000000" w:themeColor="text1"/>
                <w:kern w:val="1"/>
                <w:szCs w:val="21"/>
                <w:highlight w:val="none"/>
                <w14:textFill>
                  <w14:solidFill>
                    <w14:schemeClr w14:val="tx1"/>
                  </w14:solidFill>
                </w14:textFill>
              </w:rPr>
              <w:t>。</w:t>
            </w:r>
          </w:p>
        </w:tc>
      </w:tr>
      <w:tr w14:paraId="6B1A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5" w:hRule="atLeast"/>
          <w:jc w:val="center"/>
        </w:trPr>
        <w:tc>
          <w:tcPr>
            <w:tcW w:w="491" w:type="pct"/>
            <w:vAlign w:val="center"/>
          </w:tcPr>
          <w:p w14:paraId="3CB1746F">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10.1</w:t>
            </w:r>
          </w:p>
        </w:tc>
        <w:tc>
          <w:tcPr>
            <w:tcW w:w="1193" w:type="pct"/>
            <w:vAlign w:val="center"/>
          </w:tcPr>
          <w:p w14:paraId="7ECC9AB1">
            <w:pPr>
              <w:keepNext w:val="0"/>
              <w:keepLines w:val="0"/>
              <w:pageBreakBefore w:val="0"/>
              <w:widowControl w:val="0"/>
              <w:kinsoku/>
              <w:wordWrap w:val="0"/>
              <w:overflowPunct/>
              <w:topLinePunct w:val="0"/>
              <w:autoSpaceDE/>
              <w:autoSpaceDN/>
              <w:bidi w:val="0"/>
              <w:spacing w:line="380" w:lineRule="atLeast"/>
              <w:jc w:val="center"/>
              <w:textAlignment w:val="auto"/>
              <w:rPr>
                <w:rFonts w:ascii="宋体" w:hAnsi="宋体" w:cs="宋体"/>
                <w:color w:val="000000" w:themeColor="text1"/>
                <w:kern w:val="1"/>
                <w:szCs w:val="21"/>
                <w:highlight w:val="none"/>
                <w14:textFill>
                  <w14:solidFill>
                    <w14:schemeClr w14:val="tx1"/>
                  </w14:solidFill>
                </w14:textFill>
              </w:rPr>
            </w:pPr>
            <w:r>
              <w:rPr>
                <w:rFonts w:ascii="宋体" w:hAnsi="宋体" w:cs="宋体"/>
                <w:color w:val="000000" w:themeColor="text1"/>
                <w:kern w:val="1"/>
                <w:szCs w:val="21"/>
                <w:highlight w:val="none"/>
                <w14:textFill>
                  <w14:solidFill>
                    <w14:schemeClr w14:val="tx1"/>
                  </w14:solidFill>
                </w14:textFill>
              </w:rPr>
              <w:t>付款方式</w:t>
            </w:r>
          </w:p>
        </w:tc>
        <w:tc>
          <w:tcPr>
            <w:tcW w:w="3314" w:type="pct"/>
            <w:vAlign w:val="center"/>
          </w:tcPr>
          <w:p w14:paraId="62BBDE2A">
            <w:pPr>
              <w:pStyle w:val="4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预付款支付时间：合同签订后，采购人收到</w:t>
            </w:r>
            <w:r>
              <w:rPr>
                <w:rFonts w:hint="eastAsia" w:hAnsi="宋体" w:cs="Times New Roman"/>
                <w:color w:val="000000" w:themeColor="text1"/>
                <w:kern w:val="2"/>
                <w:sz w:val="21"/>
                <w:szCs w:val="21"/>
                <w:highlight w:val="none"/>
                <w:lang w:val="en-US" w:eastAsia="zh-CN" w:bidi="ar-SA"/>
                <w14:textFill>
                  <w14:solidFill>
                    <w14:schemeClr w14:val="tx1"/>
                  </w14:solidFill>
                </w14:textFill>
              </w:rPr>
              <w:t>增值税专用</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发票后支付，预付款支付比例为合同金额的</w:t>
            </w:r>
            <w:r>
              <w:rPr>
                <w:rFonts w:hint="eastAsia" w:cs="Times New Roman"/>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0%。</w:t>
            </w:r>
          </w:p>
          <w:p w14:paraId="39231F08">
            <w:pPr>
              <w:pStyle w:val="26"/>
              <w:keepNext w:val="0"/>
              <w:keepLines w:val="0"/>
              <w:pageBreakBefore w:val="0"/>
              <w:widowControl w:val="0"/>
              <w:numPr>
                <w:ilvl w:val="0"/>
                <w:numId w:val="0"/>
              </w:numPr>
              <w:kinsoku/>
              <w:overflowPunct/>
              <w:topLinePunct w:val="0"/>
              <w:autoSpaceDE/>
              <w:autoSpaceDN/>
              <w:bidi w:val="0"/>
              <w:adjustRightInd/>
              <w:snapToGrid w:val="0"/>
              <w:spacing w:line="360" w:lineRule="auto"/>
              <w:textAlignment w:val="auto"/>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第</w:t>
            </w:r>
            <w:r>
              <w:rPr>
                <w:rFonts w:hint="eastAsia" w:hAnsi="宋体" w:cs="Times New Roman"/>
                <w:color w:val="000000" w:themeColor="text1"/>
                <w:kern w:val="2"/>
                <w:sz w:val="21"/>
                <w:szCs w:val="21"/>
                <w:highlight w:val="none"/>
                <w:lang w:val="en-US" w:eastAsia="zh-CN" w:bidi="ar-SA"/>
                <w14:textFill>
                  <w14:solidFill>
                    <w14:schemeClr w14:val="tx1"/>
                  </w14:solidFill>
                </w14:textFill>
              </w:rPr>
              <w:t>二</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次支付时间：合同签订后，安装、调试完成，系统试运行结束并</w:t>
            </w:r>
            <w:r>
              <w:rPr>
                <w:rFonts w:hint="eastAsia" w:hAnsi="宋体" w:cs="Times New Roman"/>
                <w:color w:val="000000" w:themeColor="text1"/>
                <w:kern w:val="2"/>
                <w:sz w:val="21"/>
                <w:szCs w:val="21"/>
                <w:highlight w:val="none"/>
                <w:lang w:val="en-US" w:eastAsia="zh-CN" w:bidi="ar-SA"/>
                <w14:textFill>
                  <w14:solidFill>
                    <w14:schemeClr w14:val="tx1"/>
                  </w14:solidFill>
                </w14:textFill>
              </w:rPr>
              <w:t>交付使用</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后,采购人收到</w:t>
            </w:r>
            <w:r>
              <w:rPr>
                <w:rFonts w:hint="eastAsia" w:hAnsi="宋体" w:cs="Times New Roman"/>
                <w:color w:val="000000" w:themeColor="text1"/>
                <w:kern w:val="2"/>
                <w:sz w:val="21"/>
                <w:szCs w:val="21"/>
                <w:highlight w:val="none"/>
                <w:lang w:val="en-US" w:eastAsia="zh-CN" w:bidi="ar-SA"/>
                <w14:textFill>
                  <w14:solidFill>
                    <w14:schemeClr w14:val="tx1"/>
                  </w14:solidFill>
                </w14:textFill>
              </w:rPr>
              <w:t>增值税专用</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发票后支付至合同金额的60%。</w:t>
            </w:r>
          </w:p>
          <w:p w14:paraId="008AB7E3">
            <w:pPr>
              <w:pStyle w:val="26"/>
              <w:keepNext w:val="0"/>
              <w:keepLines w:val="0"/>
              <w:pageBreakBefore w:val="0"/>
              <w:widowControl w:val="0"/>
              <w:numPr>
                <w:ilvl w:val="0"/>
                <w:numId w:val="0"/>
              </w:numPr>
              <w:kinsoku/>
              <w:overflowPunct/>
              <w:topLinePunct w:val="0"/>
              <w:autoSpaceDE/>
              <w:autoSpaceDN/>
              <w:bidi w:val="0"/>
              <w:adjustRightInd/>
              <w:snapToGrid w:val="0"/>
              <w:spacing w:line="360" w:lineRule="auto"/>
              <w:textAlignment w:val="auto"/>
              <w:rPr>
                <w:rFonts w:hint="eastAsia" w:ascii="宋体" w:hAnsi="宋体" w:eastAsia="宋体" w:cs="Times New Roman"/>
                <w:color w:val="000000" w:themeColor="text1"/>
                <w:kern w:val="2"/>
                <w:sz w:val="21"/>
                <w:szCs w:val="21"/>
                <w:highlight w:val="yellow"/>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第</w:t>
            </w:r>
            <w:r>
              <w:rPr>
                <w:rFonts w:hint="eastAsia" w:hAnsi="宋体" w:cs="Times New Roman"/>
                <w:color w:val="000000" w:themeColor="text1"/>
                <w:kern w:val="2"/>
                <w:sz w:val="21"/>
                <w:szCs w:val="21"/>
                <w:highlight w:val="none"/>
                <w:lang w:val="en-US" w:eastAsia="zh-CN" w:bidi="ar-SA"/>
                <w14:textFill>
                  <w14:solidFill>
                    <w14:schemeClr w14:val="tx1"/>
                  </w14:solidFill>
                </w14:textFill>
              </w:rPr>
              <w:t>三</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次支付时间：</w:t>
            </w:r>
            <w:r>
              <w:rPr>
                <w:rFonts w:hint="eastAsia" w:hAnsi="宋体" w:cs="Times New Roman"/>
                <w:color w:val="000000" w:themeColor="text1"/>
                <w:kern w:val="2"/>
                <w:sz w:val="21"/>
                <w:szCs w:val="21"/>
                <w:highlight w:val="none"/>
                <w:lang w:val="en-US" w:eastAsia="zh-CN" w:bidi="ar-SA"/>
                <w14:textFill>
                  <w14:solidFill>
                    <w14:schemeClr w14:val="tx1"/>
                  </w14:solidFill>
                </w14:textFill>
              </w:rPr>
              <w:t>交付使用</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满一年且正常运行，采购人收到</w:t>
            </w:r>
            <w:r>
              <w:rPr>
                <w:rFonts w:hint="eastAsia" w:hAnsi="宋体" w:cs="Times New Roman"/>
                <w:color w:val="000000" w:themeColor="text1"/>
                <w:kern w:val="2"/>
                <w:sz w:val="21"/>
                <w:szCs w:val="21"/>
                <w:highlight w:val="none"/>
                <w:lang w:val="en-US" w:eastAsia="zh-CN" w:bidi="ar-SA"/>
                <w14:textFill>
                  <w14:solidFill>
                    <w14:schemeClr w14:val="tx1"/>
                  </w14:solidFill>
                </w14:textFill>
              </w:rPr>
              <w:t>增值税专用</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发票后支付至</w:t>
            </w:r>
            <w:r>
              <w:rPr>
                <w:rFonts w:hint="eastAsia" w:hAnsi="宋体" w:cs="Times New Roman"/>
                <w:color w:val="000000" w:themeColor="text1"/>
                <w:kern w:val="2"/>
                <w:sz w:val="21"/>
                <w:szCs w:val="21"/>
                <w:highlight w:val="none"/>
                <w:lang w:val="en-US" w:eastAsia="zh-CN" w:bidi="ar-SA"/>
                <w14:textFill>
                  <w14:solidFill>
                    <w14:schemeClr w14:val="tx1"/>
                  </w14:solidFill>
                </w14:textFill>
              </w:rPr>
              <w:t>合同</w:t>
            </w:r>
            <w: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t>金额</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的90%。</w:t>
            </w:r>
          </w:p>
          <w:p w14:paraId="678D3B86">
            <w:pPr>
              <w:pStyle w:val="26"/>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第</w:t>
            </w:r>
            <w:r>
              <w:rPr>
                <w:rFonts w:hint="eastAsia" w:hAnsi="宋体" w:cs="Times New Roman"/>
                <w:color w:val="000000" w:themeColor="text1"/>
                <w:kern w:val="2"/>
                <w:sz w:val="21"/>
                <w:szCs w:val="21"/>
                <w:highlight w:val="none"/>
                <w:lang w:val="en-US" w:eastAsia="zh-CN" w:bidi="ar-SA"/>
                <w14:textFill>
                  <w14:solidFill>
                    <w14:schemeClr w14:val="tx1"/>
                  </w14:solidFill>
                </w14:textFill>
              </w:rPr>
              <w:t>四</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次支付时间：</w:t>
            </w:r>
            <w:r>
              <w:rPr>
                <w:rFonts w:hint="eastAsia" w:hAnsi="宋体" w:cs="Times New Roman"/>
                <w:color w:val="000000" w:themeColor="text1"/>
                <w:kern w:val="2"/>
                <w:sz w:val="21"/>
                <w:szCs w:val="21"/>
                <w:highlight w:val="none"/>
                <w:lang w:val="en-US" w:eastAsia="zh-CN" w:bidi="ar-SA"/>
                <w14:textFill>
                  <w14:solidFill>
                    <w14:schemeClr w14:val="tx1"/>
                  </w14:solidFill>
                </w14:textFill>
              </w:rPr>
              <w:t>运维期</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满</w:t>
            </w:r>
            <w:r>
              <w:rPr>
                <w:rFonts w:hint="eastAsia" w:hAnsi="宋体" w:cs="Times New Roman"/>
                <w:color w:val="000000" w:themeColor="text1"/>
                <w:kern w:val="2"/>
                <w:sz w:val="21"/>
                <w:szCs w:val="21"/>
                <w:highlight w:val="none"/>
                <w:lang w:val="en-US" w:eastAsia="zh-CN" w:bidi="ar-SA"/>
                <w14:textFill>
                  <w14:solidFill>
                    <w14:schemeClr w14:val="tx1"/>
                  </w14:solidFill>
                </w14:textFill>
              </w:rPr>
              <w:t>后</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且正常运行，采购人收到</w:t>
            </w:r>
            <w:r>
              <w:rPr>
                <w:rFonts w:hint="eastAsia" w:hAnsi="宋体" w:cs="Times New Roman"/>
                <w:color w:val="000000" w:themeColor="text1"/>
                <w:kern w:val="2"/>
                <w:sz w:val="21"/>
                <w:szCs w:val="21"/>
                <w:highlight w:val="none"/>
                <w:lang w:val="en-US" w:eastAsia="zh-CN" w:bidi="ar-SA"/>
                <w14:textFill>
                  <w14:solidFill>
                    <w14:schemeClr w14:val="tx1"/>
                  </w14:solidFill>
                </w14:textFill>
              </w:rPr>
              <w:t>增值税专用</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发票后付清余款。</w:t>
            </w:r>
            <w:r>
              <w:rPr>
                <w:rFonts w:hint="eastAsia" w:ascii="宋体" w:hAnsi="宋体"/>
                <w:color w:val="000000" w:themeColor="text1"/>
                <w:sz w:val="21"/>
                <w:szCs w:val="21"/>
                <w:highlight w:val="none"/>
                <w:lang w:val="en-US" w:eastAsia="zh-CN"/>
                <w14:textFill>
                  <w14:solidFill>
                    <w14:schemeClr w14:val="tx1"/>
                  </w14:solidFill>
                </w14:textFill>
              </w:rPr>
              <w:t>采购人</w:t>
            </w:r>
            <w:r>
              <w:rPr>
                <w:rFonts w:hint="eastAsia" w:ascii="宋体" w:hAnsi="宋体"/>
                <w:color w:val="000000" w:themeColor="text1"/>
                <w:sz w:val="21"/>
                <w:szCs w:val="21"/>
                <w:highlight w:val="none"/>
                <w14:textFill>
                  <w14:solidFill>
                    <w14:schemeClr w14:val="tx1"/>
                  </w14:solidFill>
                </w14:textFill>
              </w:rPr>
              <w:t>保留适度调整采购需求的权利，</w:t>
            </w:r>
            <w:r>
              <w:rPr>
                <w:rFonts w:hint="eastAsia" w:ascii="宋体" w:hAnsi="宋体"/>
                <w:color w:val="000000" w:themeColor="text1"/>
                <w:sz w:val="21"/>
                <w:szCs w:val="21"/>
                <w:highlight w:val="none"/>
                <w:lang w:val="en-US" w:eastAsia="zh-CN"/>
                <w14:textFill>
                  <w14:solidFill>
                    <w14:schemeClr w14:val="tx1"/>
                  </w14:solidFill>
                </w14:textFill>
              </w:rPr>
              <w:t>供货人</w:t>
            </w:r>
            <w:r>
              <w:rPr>
                <w:rFonts w:hint="eastAsia" w:ascii="宋体" w:hAnsi="宋体"/>
                <w:color w:val="000000" w:themeColor="text1"/>
                <w:sz w:val="21"/>
                <w:szCs w:val="21"/>
                <w:highlight w:val="none"/>
                <w14:textFill>
                  <w14:solidFill>
                    <w14:schemeClr w14:val="tx1"/>
                  </w14:solidFill>
                </w14:textFill>
              </w:rPr>
              <w:t>应根据实际需求供货。</w:t>
            </w:r>
          </w:p>
          <w:p w14:paraId="0E7CF6F2">
            <w:pPr>
              <w:keepNext w:val="0"/>
              <w:keepLines w:val="0"/>
              <w:pageBreakBefore w:val="0"/>
              <w:widowControl w:val="0"/>
              <w:kinsoku/>
              <w:wordWrap w:val="0"/>
              <w:overflowPunct/>
              <w:topLinePunct w:val="0"/>
              <w:autoSpaceDE/>
              <w:autoSpaceDN/>
              <w:bidi w:val="0"/>
              <w:adjustRightInd/>
              <w:spacing w:line="36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合同款一律通过银行非现金结算，结算方式：转账。</w:t>
            </w:r>
          </w:p>
        </w:tc>
      </w:tr>
      <w:tr w14:paraId="3547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pct"/>
            <w:vAlign w:val="center"/>
          </w:tcPr>
          <w:p w14:paraId="15D41882">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10.3</w:t>
            </w:r>
          </w:p>
        </w:tc>
        <w:tc>
          <w:tcPr>
            <w:tcW w:w="1193" w:type="pct"/>
            <w:vAlign w:val="center"/>
          </w:tcPr>
          <w:p w14:paraId="6104B55E">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质保期和</w:t>
            </w:r>
            <w:r>
              <w:rPr>
                <w:rFonts w:hint="eastAsia"/>
                <w:color w:val="000000" w:themeColor="text1"/>
                <w:szCs w:val="21"/>
                <w14:textFill>
                  <w14:solidFill>
                    <w14:schemeClr w14:val="tx1"/>
                  </w14:solidFill>
                </w14:textFill>
              </w:rPr>
              <w:t>运维期</w:t>
            </w:r>
          </w:p>
        </w:tc>
        <w:tc>
          <w:tcPr>
            <w:tcW w:w="3314" w:type="pct"/>
            <w:vAlign w:val="center"/>
          </w:tcPr>
          <w:p w14:paraId="22341FA6">
            <w:pPr>
              <w:keepNext w:val="0"/>
              <w:keepLines w:val="0"/>
              <w:pageBreakBefore w:val="0"/>
              <w:widowControl w:val="0"/>
              <w:kinsoku/>
              <w:wordWrap w:val="0"/>
              <w:overflowPunct/>
              <w:topLinePunct w:val="0"/>
              <w:autoSpaceDE/>
              <w:autoSpaceDN/>
              <w:bidi w:val="0"/>
              <w:spacing w:line="380" w:lineRule="atLeast"/>
              <w:textAlignment w:val="auto"/>
              <w:rPr>
                <w:rFonts w:hint="eastAsia" w:ascii="宋体" w:hAnsi="宋体"/>
                <w:color w:val="000000" w:themeColor="text1"/>
                <w:szCs w:val="21"/>
                <w14:textFill>
                  <w14:solidFill>
                    <w14:schemeClr w14:val="tx1"/>
                  </w14:solidFill>
                </w14:textFill>
              </w:rPr>
            </w:pPr>
            <w:r>
              <w:rPr>
                <w:rFonts w:hint="eastAsia" w:ascii="Times New Roman" w:eastAsia="宋体"/>
                <w:color w:val="000000" w:themeColor="text1"/>
                <w:szCs w:val="21"/>
                <w:lang w:val="en-US" w:eastAsia="zh-CN"/>
                <w14:textFill>
                  <w14:solidFill>
                    <w14:schemeClr w14:val="tx1"/>
                  </w14:solidFill>
                </w14:textFill>
              </w:rPr>
              <w:t>质保期</w:t>
            </w:r>
            <w:r>
              <w:rPr>
                <w:rFonts w:hint="eastAsia"/>
                <w:color w:val="000000" w:themeColor="text1"/>
                <w:szCs w:val="21"/>
                <w14:textFill>
                  <w14:solidFill>
                    <w14:schemeClr w14:val="tx1"/>
                  </w14:solidFill>
                </w14:textFill>
              </w:rPr>
              <w:t>不少于</w:t>
            </w:r>
            <w:r>
              <w:rPr>
                <w:rFonts w:hint="eastAsia"/>
                <w:color w:val="000000" w:themeColor="text1"/>
                <w:szCs w:val="21"/>
                <w:lang w:val="en-US" w:eastAsia="zh-CN"/>
                <w14:textFill>
                  <w14:solidFill>
                    <w14:schemeClr w14:val="tx1"/>
                  </w14:solidFill>
                </w14:textFill>
              </w:rPr>
              <w:t>2</w:t>
            </w:r>
            <w:r>
              <w:rPr>
                <w:rFonts w:hint="eastAsia"/>
                <w:color w:val="000000" w:themeColor="text1"/>
                <w:szCs w:val="21"/>
                <w14:textFill>
                  <w14:solidFill>
                    <w14:schemeClr w14:val="tx1"/>
                  </w14:solidFill>
                </w14:textFill>
              </w:rPr>
              <w:t>年</w:t>
            </w:r>
            <w:r>
              <w:rPr>
                <w:rFonts w:hint="eastAsia"/>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安装、调试完成，系统试运行结束并</w:t>
            </w:r>
            <w:r>
              <w:rPr>
                <w:rFonts w:hint="eastAsia" w:hAnsi="宋体" w:cs="Times New Roman"/>
                <w:color w:val="000000" w:themeColor="text1"/>
                <w:kern w:val="2"/>
                <w:sz w:val="21"/>
                <w:szCs w:val="21"/>
                <w:highlight w:val="none"/>
                <w:lang w:val="en-US" w:eastAsia="zh-CN" w:bidi="ar-SA"/>
                <w14:textFill>
                  <w14:solidFill>
                    <w14:schemeClr w14:val="tx1"/>
                  </w14:solidFill>
                </w14:textFill>
              </w:rPr>
              <w:t>交付使用</w:t>
            </w:r>
            <w:r>
              <w:rPr>
                <w:rFonts w:hint="eastAsia" w:ascii="宋体" w:hAnsi="宋体"/>
                <w:color w:val="000000" w:themeColor="text1"/>
                <w:szCs w:val="21"/>
                <w:highlight w:val="none"/>
                <w14:textFill>
                  <w14:solidFill>
                    <w14:schemeClr w14:val="tx1"/>
                  </w14:solidFill>
                </w14:textFill>
              </w:rPr>
              <w:t>之日起计算</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质保期内无偿更换非人为损坏的配件等</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在保修期内，乙方不得收取任何费用，免费保修期满后，乙方对用户货物的维修只收成本费，并提供终身技术服务。</w:t>
            </w:r>
          </w:p>
          <w:p w14:paraId="19EAD29D">
            <w:pPr>
              <w:keepNext w:val="0"/>
              <w:keepLines w:val="0"/>
              <w:pageBreakBefore w:val="0"/>
              <w:widowControl w:val="0"/>
              <w:kinsoku/>
              <w:wordWrap w:val="0"/>
              <w:overflowPunct/>
              <w:topLinePunct w:val="0"/>
              <w:autoSpaceDE/>
              <w:autoSpaceDN/>
              <w:bidi w:val="0"/>
              <w:spacing w:line="380" w:lineRule="atLeast"/>
              <w:textAlignment w:val="auto"/>
              <w:rPr>
                <w:rFonts w:hint="eastAsia" w:eastAsia="宋体"/>
                <w:color w:val="000000" w:themeColor="text1"/>
                <w:szCs w:val="21"/>
                <w:lang w:eastAsia="zh-CN"/>
                <w14:textFill>
                  <w14:solidFill>
                    <w14:schemeClr w14:val="tx1"/>
                  </w14:solidFill>
                </w14:textFill>
              </w:rPr>
            </w:pPr>
            <w:r>
              <w:rPr>
                <w:rFonts w:hint="eastAsia"/>
                <w:color w:val="000000" w:themeColor="text1"/>
                <w:szCs w:val="21"/>
                <w:highlight w:val="none"/>
                <w14:textFill>
                  <w14:solidFill>
                    <w14:schemeClr w14:val="tx1"/>
                  </w14:solidFill>
                </w14:textFill>
              </w:rPr>
              <w:t>运维</w:t>
            </w:r>
            <w:r>
              <w:rPr>
                <w:rFonts w:hint="eastAsia"/>
                <w:color w:val="000000" w:themeColor="text1"/>
                <w:szCs w:val="21"/>
                <w:highlight w:val="none"/>
                <w:lang w:val="en-US" w:eastAsia="zh-CN"/>
                <w14:textFill>
                  <w14:solidFill>
                    <w14:schemeClr w14:val="tx1"/>
                  </w14:solidFill>
                </w14:textFill>
              </w:rPr>
              <w:t>服务期限</w:t>
            </w:r>
            <w:r>
              <w:rPr>
                <w:rFonts w:hint="eastAsia"/>
                <w:color w:val="000000" w:themeColor="text1"/>
                <w:szCs w:val="21"/>
                <w:highlight w:val="none"/>
                <w:u w:val="single"/>
                <w:lang w:val="en-US" w:eastAsia="zh-CN"/>
                <w14:textFill>
                  <w14:solidFill>
                    <w14:schemeClr w14:val="tx1"/>
                  </w14:solidFill>
                </w14:textFill>
              </w:rPr>
              <w:t xml:space="preserve"> 2年</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安装、调试完成，系统试运行结束并</w:t>
            </w:r>
            <w:r>
              <w:rPr>
                <w:rFonts w:hint="eastAsia" w:ascii="宋体" w:hAnsi="宋体" w:cs="Times New Roman"/>
                <w:color w:val="000000" w:themeColor="text1"/>
                <w:kern w:val="2"/>
                <w:sz w:val="21"/>
                <w:szCs w:val="21"/>
                <w:highlight w:val="none"/>
                <w:lang w:val="en-US" w:eastAsia="zh-CN" w:bidi="ar-SA"/>
                <w14:textFill>
                  <w14:solidFill>
                    <w14:schemeClr w14:val="tx1"/>
                  </w14:solidFill>
                </w14:textFill>
              </w:rPr>
              <w:t>交付使用</w:t>
            </w:r>
            <w:r>
              <w:rPr>
                <w:rFonts w:hint="eastAsia" w:ascii="宋体" w:hAnsi="宋体"/>
                <w:color w:val="000000" w:themeColor="text1"/>
                <w:szCs w:val="21"/>
                <w:highlight w:val="none"/>
                <w14:textFill>
                  <w14:solidFill>
                    <w14:schemeClr w14:val="tx1"/>
                  </w14:solidFill>
                </w14:textFill>
              </w:rPr>
              <w:t>之日起计算</w:t>
            </w:r>
            <w:r>
              <w:rPr>
                <w:rFonts w:hint="eastAsia" w:ascii="宋体" w:hAnsi="宋体"/>
                <w:color w:val="000000" w:themeColor="text1"/>
                <w:szCs w:val="21"/>
                <w:highlight w:val="none"/>
                <w:lang w:eastAsia="zh-CN"/>
                <w14:textFill>
                  <w14:solidFill>
                    <w14:schemeClr w14:val="tx1"/>
                  </w14:solidFill>
                </w14:textFill>
              </w:rPr>
              <w:t>）</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运维服务包括日常的系统维护、故障处理、应急响应等</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以确保系统的正常运行</w:t>
            </w:r>
            <w:r>
              <w:rPr>
                <w:rFonts w:hint="eastAsia" w:ascii="宋体" w:hAnsi="宋体"/>
                <w:color w:val="000000" w:themeColor="text1"/>
                <w:szCs w:val="21"/>
                <w:highlight w:val="none"/>
                <w:lang w:eastAsia="zh-CN"/>
                <w14:textFill>
                  <w14:solidFill>
                    <w14:schemeClr w14:val="tx1"/>
                  </w14:solidFill>
                </w14:textFill>
              </w:rPr>
              <w:t>。</w:t>
            </w:r>
          </w:p>
        </w:tc>
      </w:tr>
      <w:tr w14:paraId="0756B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pct"/>
            <w:vAlign w:val="center"/>
          </w:tcPr>
          <w:p w14:paraId="0A41DBD4">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11</w:t>
            </w:r>
          </w:p>
        </w:tc>
        <w:tc>
          <w:tcPr>
            <w:tcW w:w="4508" w:type="pct"/>
            <w:gridSpan w:val="2"/>
            <w:vAlign w:val="center"/>
          </w:tcPr>
          <w:p w14:paraId="1B9AFA75">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kern w:val="1"/>
                <w:szCs w:val="21"/>
                <w14:textFill>
                  <w14:solidFill>
                    <w14:schemeClr w14:val="tx1"/>
                  </w14:solidFill>
                </w14:textFill>
              </w:rPr>
            </w:pPr>
            <w:r>
              <w:rPr>
                <w:rFonts w:hint="eastAsia"/>
                <w:color w:val="000000" w:themeColor="text1"/>
                <w:kern w:val="1"/>
                <w:szCs w:val="21"/>
                <w14:textFill>
                  <w14:solidFill>
                    <w14:schemeClr w14:val="tx1"/>
                  </w14:solidFill>
                </w14:textFill>
              </w:rPr>
              <w:t>解释权：构成本招标文件的各个组成文件应互为解释，互为说明。当发现的不明确或不一致，在招标文件中有明确规定的，评标委员会应按已明确的规定评标；当发现的不明确或不一致，在招标文件中没有明确规定时：</w:t>
            </w:r>
          </w:p>
          <w:p w14:paraId="238714F3">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kern w:val="1"/>
                <w:szCs w:val="21"/>
                <w:shd w:val="clear" w:fill="000000"/>
                <w14:textFill>
                  <w14:solidFill>
                    <w14:schemeClr w14:val="tx1"/>
                  </w14:solidFill>
                </w14:textFill>
              </w:rPr>
            </w:pPr>
            <w:r>
              <w:rPr>
                <w:rFonts w:hint="eastAsia"/>
                <w:color w:val="000000" w:themeColor="text1"/>
                <w:kern w:val="1"/>
                <w:szCs w:val="21"/>
                <w14:textFill>
                  <w14:solidFill>
                    <w14:schemeClr w14:val="tx1"/>
                  </w14:solidFill>
                </w14:textFill>
              </w:rPr>
              <w:t>⑴凡是构成合同文件组成内容的不明确或不一致，以合同文件约定内容为准，且以专用合同条款约定的合同文件优先顺序解释；</w:t>
            </w:r>
          </w:p>
          <w:p w14:paraId="103B7BD5">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kern w:val="1"/>
                <w:szCs w:val="21"/>
                <w14:textFill>
                  <w14:solidFill>
                    <w14:schemeClr w14:val="tx1"/>
                  </w14:solidFill>
                </w14:textFill>
              </w:rPr>
            </w:pPr>
            <w:r>
              <w:rPr>
                <w:rFonts w:hint="eastAsia"/>
                <w:color w:val="000000" w:themeColor="text1"/>
                <w:kern w:val="1"/>
                <w:szCs w:val="21"/>
                <w14:textFill>
                  <w14:solidFill>
                    <w14:schemeClr w14:val="tx1"/>
                  </w14:solidFill>
                </w14:textFill>
              </w:rPr>
              <w:t>⑵凡不是构成合同文件组成内容的不明确或不一致，除招标文件中有特别规定外，仅适用于招标投标阶段的规定，按招标公告、投标人须知、评标办法、投标文件格式的先后顺序解释。同一组成文件中就同一事项的规定或约定不一致的，影响评审的，剔除该因素进行评审；其它情形的，以现行法律法规约定为准；凡同一组成文件不同版本之间有不一致的，以形成时间在后者为准。</w:t>
            </w:r>
          </w:p>
          <w:p w14:paraId="550A4DC7">
            <w:pPr>
              <w:keepNext w:val="0"/>
              <w:keepLines w:val="0"/>
              <w:pageBreakBefore w:val="0"/>
              <w:widowControl w:val="0"/>
              <w:kinsoku/>
              <w:wordWrap w:val="0"/>
              <w:overflowPunct/>
              <w:topLinePunct w:val="0"/>
              <w:autoSpaceDE/>
              <w:autoSpaceDN/>
              <w:bidi w:val="0"/>
              <w:spacing w:line="380" w:lineRule="atLeast"/>
              <w:textAlignment w:val="auto"/>
              <w:rPr>
                <w:color w:val="000000" w:themeColor="text1"/>
                <w:kern w:val="1"/>
                <w:szCs w:val="21"/>
                <w14:textFill>
                  <w14:solidFill>
                    <w14:schemeClr w14:val="tx1"/>
                  </w14:solidFill>
                </w14:textFill>
              </w:rPr>
            </w:pPr>
            <w:r>
              <w:rPr>
                <w:rFonts w:hint="eastAsia"/>
                <w:color w:val="000000" w:themeColor="text1"/>
                <w:kern w:val="1"/>
                <w:szCs w:val="21"/>
                <w14:textFill>
                  <w14:solidFill>
                    <w14:schemeClr w14:val="tx1"/>
                  </w14:solidFill>
                </w14:textFill>
              </w:rPr>
              <w:t>⑶按本款前述规定仍不能形成结论的，由招标人负责解释。</w:t>
            </w:r>
          </w:p>
        </w:tc>
      </w:tr>
      <w:tr w14:paraId="0037C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pct"/>
            <w:vAlign w:val="center"/>
          </w:tcPr>
          <w:p w14:paraId="2584F2EF">
            <w:pPr>
              <w:keepNext w:val="0"/>
              <w:keepLines w:val="0"/>
              <w:pageBreakBefore w:val="0"/>
              <w:widowControl w:val="0"/>
              <w:kinsoku/>
              <w:wordWrap w:val="0"/>
              <w:overflowPunct/>
              <w:topLinePunct w:val="0"/>
              <w:autoSpaceDE/>
              <w:autoSpaceDN/>
              <w:bidi w:val="0"/>
              <w:spacing w:line="380" w:lineRule="atLeast"/>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12</w:t>
            </w:r>
          </w:p>
        </w:tc>
        <w:tc>
          <w:tcPr>
            <w:tcW w:w="4508" w:type="pct"/>
            <w:gridSpan w:val="2"/>
            <w:vAlign w:val="center"/>
          </w:tcPr>
          <w:p w14:paraId="786888AC">
            <w:pPr>
              <w:keepNext w:val="0"/>
              <w:keepLines w:val="0"/>
              <w:pageBreakBefore w:val="0"/>
              <w:widowControl w:val="0"/>
              <w:kinsoku/>
              <w:wordWrap w:val="0"/>
              <w:overflowPunct/>
              <w:topLinePunct w:val="0"/>
              <w:autoSpaceDE/>
              <w:autoSpaceDN/>
              <w:bidi w:val="0"/>
              <w:adjustRightInd/>
              <w:snapToGrid/>
              <w:spacing w:line="380" w:lineRule="atLeast"/>
              <w:textAlignment w:val="auto"/>
              <w:rPr>
                <w:color w:val="000000" w:themeColor="text1"/>
                <w:kern w:val="1"/>
                <w:szCs w:val="21"/>
                <w14:textFill>
                  <w14:solidFill>
                    <w14:schemeClr w14:val="tx1"/>
                  </w14:solidFill>
                </w14:textFill>
              </w:rPr>
            </w:pPr>
            <w:r>
              <w:rPr>
                <w:rFonts w:hint="eastAsia"/>
                <w:color w:val="000000" w:themeColor="text1"/>
                <w:kern w:val="1"/>
                <w:szCs w:val="21"/>
                <w14:textFill>
                  <w14:solidFill>
                    <w14:schemeClr w14:val="tx1"/>
                  </w14:solidFill>
                </w14:textFill>
              </w:rPr>
              <w:t>1、本招标文件时间均以中华人民共和国北京时间为准，所涉及金额的币种均为人民币。</w:t>
            </w:r>
          </w:p>
          <w:p w14:paraId="5D50241F">
            <w:pPr>
              <w:keepNext w:val="0"/>
              <w:keepLines w:val="0"/>
              <w:pageBreakBefore w:val="0"/>
              <w:widowControl w:val="0"/>
              <w:kinsoku/>
              <w:wordWrap w:val="0"/>
              <w:overflowPunct/>
              <w:topLinePunct w:val="0"/>
              <w:autoSpaceDE/>
              <w:autoSpaceDN/>
              <w:bidi w:val="0"/>
              <w:adjustRightInd/>
              <w:snapToGrid/>
              <w:spacing w:line="380" w:lineRule="atLeast"/>
              <w:textAlignment w:val="auto"/>
              <w:rPr>
                <w:color w:val="000000" w:themeColor="text1"/>
                <w:kern w:val="1"/>
                <w:szCs w:val="21"/>
                <w14:textFill>
                  <w14:solidFill>
                    <w14:schemeClr w14:val="tx1"/>
                  </w14:solidFill>
                </w14:textFill>
              </w:rPr>
            </w:pPr>
            <w:r>
              <w:rPr>
                <w:rFonts w:hint="eastAsia"/>
                <w:color w:val="000000" w:themeColor="text1"/>
                <w:kern w:val="1"/>
                <w:szCs w:val="21"/>
                <w14:textFill>
                  <w14:solidFill>
                    <w14:schemeClr w14:val="tx1"/>
                  </w14:solidFill>
                </w14:textFill>
              </w:rPr>
              <w:t>2、凡参与本项目投标的投标人，视同已踏勘过项目现场和研究了本招标文件的所有内容，并无保留地接受招标文件的所有条款（含招标答疑、补充通知等）。</w:t>
            </w:r>
          </w:p>
          <w:p w14:paraId="668699FE">
            <w:pPr>
              <w:keepNext w:val="0"/>
              <w:keepLines w:val="0"/>
              <w:pageBreakBefore w:val="0"/>
              <w:widowControl w:val="0"/>
              <w:kinsoku/>
              <w:wordWrap w:val="0"/>
              <w:overflowPunct/>
              <w:topLinePunct w:val="0"/>
              <w:autoSpaceDE/>
              <w:autoSpaceDN/>
              <w:bidi w:val="0"/>
              <w:adjustRightInd/>
              <w:snapToGrid/>
              <w:spacing w:line="380" w:lineRule="atLeast"/>
              <w:jc w:val="left"/>
              <w:textAlignment w:val="auto"/>
              <w:rPr>
                <w:color w:val="000000" w:themeColor="text1"/>
                <w:kern w:val="1"/>
                <w:szCs w:val="21"/>
                <w14:textFill>
                  <w14:solidFill>
                    <w14:schemeClr w14:val="tx1"/>
                  </w14:solidFill>
                </w14:textFill>
              </w:rPr>
            </w:pPr>
            <w:r>
              <w:rPr>
                <w:rFonts w:hint="eastAsia"/>
                <w:color w:val="000000" w:themeColor="text1"/>
                <w:kern w:val="1"/>
                <w:szCs w:val="21"/>
                <w14:textFill>
                  <w14:solidFill>
                    <w14:schemeClr w14:val="tx1"/>
                  </w14:solidFill>
                </w14:textFill>
              </w:rPr>
              <w:t>3、为防止因开标前集中上传投标文件造成的网络拥堵，导致投标人无法在投标截止时间前成功上传投标文件，建议投标人在开标前尽早将投标文件上传到</w:t>
            </w:r>
            <w:r>
              <w:rPr>
                <w:rFonts w:hint="eastAsia"/>
                <w:b/>
                <w:color w:val="000000" w:themeColor="text1"/>
                <w:kern w:val="1"/>
                <w:szCs w:val="21"/>
                <w14:textFill>
                  <w14:solidFill>
                    <w14:schemeClr w14:val="tx1"/>
                  </w14:solidFill>
                </w14:textFill>
              </w:rPr>
              <w:t>新点电子交易平台-大丰采购系统</w:t>
            </w:r>
            <w:r>
              <w:rPr>
                <w:rFonts w:hint="eastAsia"/>
                <w:color w:val="000000" w:themeColor="text1"/>
                <w:kern w:val="1"/>
                <w:szCs w:val="21"/>
                <w14:textFill>
                  <w14:solidFill>
                    <w14:schemeClr w14:val="tx1"/>
                  </w14:solidFill>
                </w14:textFill>
              </w:rPr>
              <w:t>（网址：https://www.etrading.cn/BREpointSSO/login/oauth2login）。</w:t>
            </w:r>
          </w:p>
          <w:p w14:paraId="54CE9238">
            <w:pPr>
              <w:keepNext w:val="0"/>
              <w:keepLines w:val="0"/>
              <w:pageBreakBefore w:val="0"/>
              <w:widowControl w:val="0"/>
              <w:kinsoku/>
              <w:wordWrap w:val="0"/>
              <w:overflowPunct/>
              <w:topLinePunct w:val="0"/>
              <w:autoSpaceDE/>
              <w:autoSpaceDN/>
              <w:bidi w:val="0"/>
              <w:adjustRightInd/>
              <w:snapToGrid/>
              <w:spacing w:line="380" w:lineRule="atLeast"/>
              <w:jc w:val="left"/>
              <w:textAlignment w:val="auto"/>
              <w:rPr>
                <w:color w:val="000000" w:themeColor="text1"/>
                <w:kern w:val="1"/>
                <w:szCs w:val="21"/>
                <w14:textFill>
                  <w14:solidFill>
                    <w14:schemeClr w14:val="tx1"/>
                  </w14:solidFill>
                </w14:textFill>
              </w:rPr>
            </w:pPr>
            <w:r>
              <w:rPr>
                <w:rFonts w:hint="eastAsia"/>
                <w:color w:val="000000" w:themeColor="text1"/>
                <w:kern w:val="1"/>
                <w:szCs w:val="21"/>
                <w14:textFill>
                  <w14:solidFill>
                    <w14:schemeClr w14:val="tx1"/>
                  </w14:solidFill>
                </w14:textFill>
              </w:rPr>
              <w:t>4、请统一使用最新版本的投标文件编制工具制作投标文件，相应软件请至新点电子交易平台（https://www.etrading.cn/），点击右侧“常用下载”，选择“投标工具”进行下载（网址：https://download.bqpoint.com/download/downloaddetail.html?SourceFrom=Ztb&amp;ZtbSoftXiaQuCode=0128&amp;ZtbSoftType=tballinclusive），投标文件制作视频学习地址：https://www.etrading.cn/bszn/015005/015005002/20211227/80e55434-c70a-4a10-923e-641aa639269e.html。</w:t>
            </w:r>
          </w:p>
          <w:p w14:paraId="13CC4C3B">
            <w:pPr>
              <w:keepNext w:val="0"/>
              <w:keepLines w:val="0"/>
              <w:pageBreakBefore w:val="0"/>
              <w:widowControl w:val="0"/>
              <w:kinsoku/>
              <w:wordWrap w:val="0"/>
              <w:overflowPunct/>
              <w:topLinePunct w:val="0"/>
              <w:autoSpaceDE/>
              <w:autoSpaceDN/>
              <w:bidi w:val="0"/>
              <w:adjustRightInd/>
              <w:snapToGrid/>
              <w:spacing w:line="380" w:lineRule="atLeast"/>
              <w:textAlignment w:val="auto"/>
              <w:rPr>
                <w:color w:val="000000" w:themeColor="text1"/>
                <w:kern w:val="1"/>
                <w:szCs w:val="21"/>
                <w14:textFill>
                  <w14:solidFill>
                    <w14:schemeClr w14:val="tx1"/>
                  </w14:solidFill>
                </w14:textFill>
              </w:rPr>
            </w:pPr>
            <w:r>
              <w:rPr>
                <w:rFonts w:hint="eastAsia"/>
                <w:color w:val="000000" w:themeColor="text1"/>
                <w:kern w:val="1"/>
                <w:szCs w:val="21"/>
                <w14:textFill>
                  <w14:solidFill>
                    <w14:schemeClr w14:val="tx1"/>
                  </w14:solidFill>
                </w14:textFill>
              </w:rPr>
              <w:t>5、因本项目采用全程电子化及不见面开标模式，故招标人特别说明如下：</w:t>
            </w:r>
          </w:p>
          <w:p w14:paraId="1F953DC4">
            <w:pPr>
              <w:keepNext w:val="0"/>
              <w:keepLines w:val="0"/>
              <w:pageBreakBefore w:val="0"/>
              <w:widowControl w:val="0"/>
              <w:kinsoku/>
              <w:wordWrap w:val="0"/>
              <w:overflowPunct/>
              <w:topLinePunct w:val="0"/>
              <w:autoSpaceDE/>
              <w:autoSpaceDN/>
              <w:bidi w:val="0"/>
              <w:adjustRightInd/>
              <w:snapToGrid/>
              <w:spacing w:line="380" w:lineRule="atLeast"/>
              <w:textAlignment w:val="auto"/>
              <w:rPr>
                <w:color w:val="000000" w:themeColor="text1"/>
                <w:kern w:val="1"/>
                <w:szCs w:val="21"/>
                <w14:textFill>
                  <w14:solidFill>
                    <w14:schemeClr w14:val="tx1"/>
                  </w14:solidFill>
                </w14:textFill>
              </w:rPr>
            </w:pPr>
            <w:r>
              <w:rPr>
                <w:rFonts w:hint="eastAsia"/>
                <w:color w:val="000000" w:themeColor="text1"/>
                <w:kern w:val="1"/>
                <w:szCs w:val="21"/>
                <w14:textFill>
                  <w14:solidFill>
                    <w14:schemeClr w14:val="tx1"/>
                  </w14:solidFill>
                </w14:textFill>
              </w:rPr>
              <w:t>①、不见面开标项目的时间均以国家授时中心发布的时间为准。</w:t>
            </w:r>
          </w:p>
          <w:p w14:paraId="3B6F42DF">
            <w:pPr>
              <w:keepNext w:val="0"/>
              <w:keepLines w:val="0"/>
              <w:pageBreakBefore w:val="0"/>
              <w:widowControl w:val="0"/>
              <w:kinsoku/>
              <w:wordWrap w:val="0"/>
              <w:overflowPunct/>
              <w:topLinePunct w:val="0"/>
              <w:autoSpaceDE/>
              <w:autoSpaceDN/>
              <w:bidi w:val="0"/>
              <w:adjustRightInd/>
              <w:snapToGrid/>
              <w:spacing w:line="380" w:lineRule="atLeast"/>
              <w:jc w:val="left"/>
              <w:textAlignment w:val="auto"/>
              <w:rPr>
                <w:color w:val="000000" w:themeColor="text1"/>
                <w:kern w:val="1"/>
                <w:szCs w:val="21"/>
                <w14:textFill>
                  <w14:solidFill>
                    <w14:schemeClr w14:val="tx1"/>
                  </w14:solidFill>
                </w14:textFill>
              </w:rPr>
            </w:pPr>
            <w:r>
              <w:rPr>
                <w:rFonts w:hint="eastAsia"/>
                <w:color w:val="000000" w:themeColor="text1"/>
                <w:kern w:val="1"/>
                <w:szCs w:val="21"/>
                <w14:textFill>
                  <w14:solidFill>
                    <w14:schemeClr w14:val="tx1"/>
                  </w14:solidFill>
                </w14:textFill>
              </w:rPr>
              <w:t>②、本项目招投标文件均用专用招投标工具软件编制，并通过网上招投标平台完成招投标过程。投标人投标文件的编制和提交，应依照招标文件的规定进行。如未按招标文件要求编制、提交电子投标文件，将有可能导致无效投标，其不利后果由投标人自行承担。不见面开标操作教程详见http://js.etrading.cn/EpointBidOpening/bidopeninghallaction/hall/login。投标人如对正确使用招投标专用工具软件有疑问的，请尽早和软件公司的服务人员联系，他们会根据投标人要求，提供必要的培训和技术支持。平台使用问题、投标文件制作工具使用问题请在工作时间联系新点公司，联系电话：4009280095-5或者联系本项目招标代理，联系电话：0515-68859288。</w:t>
            </w:r>
          </w:p>
          <w:p w14:paraId="36654778">
            <w:pPr>
              <w:keepNext w:val="0"/>
              <w:keepLines w:val="0"/>
              <w:pageBreakBefore w:val="0"/>
              <w:widowControl w:val="0"/>
              <w:kinsoku/>
              <w:wordWrap w:val="0"/>
              <w:overflowPunct/>
              <w:topLinePunct w:val="0"/>
              <w:autoSpaceDE/>
              <w:autoSpaceDN/>
              <w:bidi w:val="0"/>
              <w:adjustRightInd/>
              <w:snapToGrid/>
              <w:spacing w:line="380" w:lineRule="atLeast"/>
              <w:textAlignment w:val="auto"/>
              <w:rPr>
                <w:color w:val="000000" w:themeColor="text1"/>
                <w:kern w:val="1"/>
                <w:szCs w:val="21"/>
                <w14:textFill>
                  <w14:solidFill>
                    <w14:schemeClr w14:val="tx1"/>
                  </w14:solidFill>
                </w14:textFill>
              </w:rPr>
            </w:pPr>
            <w:r>
              <w:rPr>
                <w:rFonts w:hint="eastAsia"/>
                <w:color w:val="000000" w:themeColor="text1"/>
                <w:kern w:val="1"/>
                <w:szCs w:val="21"/>
                <w14:textFill>
                  <w14:solidFill>
                    <w14:schemeClr w14:val="tx1"/>
                  </w14:solidFill>
                </w14:textFill>
              </w:rPr>
              <w:t>③、为顺利实现本项目开评标的远程交互，建议投标人配置的硬件设施有：高配置电脑、高速稳定的网络、电源（不间断）、CA锁、音视频设备（话筒、耳麦、高清摄像头、音响）、扫描仪、打印机、传真机、高清视频监控等；建议投标人具备的软件设施有：IE浏览器（版本必须为11及11以上），江苏省互联互通版驱动版本。为保证交互效果，建议投标人选择封闭安静的地点参与远程交互。因投标人自身软硬件配备不齐全或发生故障等问题而导致在交互过程中出现不稳定或中断等情况的，其产生的不利后果由投标人自身承担。</w:t>
            </w:r>
          </w:p>
          <w:p w14:paraId="667393FE">
            <w:pPr>
              <w:keepNext w:val="0"/>
              <w:keepLines w:val="0"/>
              <w:pageBreakBefore w:val="0"/>
              <w:widowControl w:val="0"/>
              <w:kinsoku/>
              <w:wordWrap w:val="0"/>
              <w:overflowPunct/>
              <w:topLinePunct w:val="0"/>
              <w:autoSpaceDE/>
              <w:autoSpaceDN/>
              <w:bidi w:val="0"/>
              <w:adjustRightInd/>
              <w:snapToGrid/>
              <w:spacing w:line="380" w:lineRule="atLeast"/>
              <w:textAlignment w:val="auto"/>
              <w:rPr>
                <w:color w:val="000000" w:themeColor="text1"/>
                <w:kern w:val="1"/>
                <w:szCs w:val="21"/>
                <w14:textFill>
                  <w14:solidFill>
                    <w14:schemeClr w14:val="tx1"/>
                  </w14:solidFill>
                </w14:textFill>
              </w:rPr>
            </w:pPr>
            <w:r>
              <w:rPr>
                <w:rFonts w:hint="eastAsia"/>
                <w:color w:val="000000" w:themeColor="text1"/>
                <w:kern w:val="1"/>
                <w:szCs w:val="21"/>
                <w14:textFill>
                  <w14:solidFill>
                    <w14:schemeClr w14:val="tx1"/>
                  </w14:solidFill>
                </w14:textFill>
              </w:rPr>
              <w:t>6、本招标文件未尽事宜，按国家和省法律法规、规章要求处理。</w:t>
            </w:r>
          </w:p>
          <w:p w14:paraId="7B016976">
            <w:pPr>
              <w:keepNext w:val="0"/>
              <w:keepLines w:val="0"/>
              <w:pageBreakBefore w:val="0"/>
              <w:widowControl w:val="0"/>
              <w:kinsoku/>
              <w:wordWrap w:val="0"/>
              <w:overflowPunct/>
              <w:topLinePunct w:val="0"/>
              <w:autoSpaceDE/>
              <w:autoSpaceDN/>
              <w:bidi w:val="0"/>
              <w:adjustRightInd/>
              <w:snapToGrid/>
              <w:spacing w:line="380" w:lineRule="atLeast"/>
              <w:textAlignment w:val="auto"/>
              <w:rPr>
                <w:color w:val="000000" w:themeColor="text1"/>
                <w:kern w:val="1"/>
                <w:szCs w:val="21"/>
                <w14:textFill>
                  <w14:solidFill>
                    <w14:schemeClr w14:val="tx1"/>
                  </w14:solidFill>
                </w14:textFill>
              </w:rPr>
            </w:pPr>
            <w:r>
              <w:rPr>
                <w:rFonts w:hint="eastAsia"/>
                <w:color w:val="000000" w:themeColor="text1"/>
                <w:kern w:val="1"/>
                <w:szCs w:val="21"/>
                <w14:textFill>
                  <w14:solidFill>
                    <w14:schemeClr w14:val="tx1"/>
                  </w14:solidFill>
                </w14:textFill>
              </w:rPr>
              <w:t>7、本招标文件的解释权归招标人所有。</w:t>
            </w:r>
          </w:p>
        </w:tc>
      </w:tr>
    </w:tbl>
    <w:p w14:paraId="77C7142E">
      <w:pPr>
        <w:spacing w:line="480" w:lineRule="exact"/>
        <w:rPr>
          <w:b/>
          <w:color w:val="000000" w:themeColor="text1"/>
          <w:szCs w:val="21"/>
          <w14:textFill>
            <w14:solidFill>
              <w14:schemeClr w14:val="tx1"/>
            </w14:solidFill>
          </w14:textFill>
        </w:rPr>
      </w:pPr>
      <w:bookmarkStart w:id="36" w:name="_Toc368759375"/>
      <w:bookmarkStart w:id="37" w:name="_Toc184635071"/>
      <w:bookmarkStart w:id="38" w:name="_Toc368760427"/>
      <w:bookmarkStart w:id="39" w:name="_Toc367894798"/>
      <w:bookmarkStart w:id="40" w:name="_Toc363329370"/>
      <w:bookmarkStart w:id="41" w:name="_Toc369077561"/>
      <w:r>
        <w:rPr>
          <w:b/>
          <w:color w:val="000000" w:themeColor="text1"/>
          <w:szCs w:val="21"/>
          <w14:textFill>
            <w14:solidFill>
              <w14:schemeClr w14:val="tx1"/>
            </w14:solidFill>
          </w14:textFill>
        </w:rPr>
        <w:t>特别提醒：</w:t>
      </w:r>
      <w:bookmarkStart w:id="42" w:name="_Toc387526179"/>
      <w:bookmarkStart w:id="43" w:name="_Toc397928549"/>
      <w:bookmarkStart w:id="44" w:name="_Toc387526375"/>
      <w:bookmarkStart w:id="45" w:name="_Toc387526283"/>
      <w:bookmarkStart w:id="46" w:name="_Toc18948"/>
    </w:p>
    <w:p w14:paraId="2B5E2AF0">
      <w:pPr>
        <w:spacing w:line="480" w:lineRule="exact"/>
        <w:ind w:firstLine="413" w:firstLineChars="196"/>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1、</w:t>
      </w:r>
      <w:r>
        <w:rPr>
          <w:b/>
          <w:color w:val="000000" w:themeColor="text1"/>
          <w:szCs w:val="21"/>
          <w14:textFill>
            <w14:solidFill>
              <w14:schemeClr w14:val="tx1"/>
            </w14:solidFill>
          </w14:textFill>
        </w:rPr>
        <w:t>招标人会根据招标需要，可能会不定期在大丰公共资源电子交易平台发布该项目补充答疑等澄清修改文件，请各投标人自行网上查寻，未能及时查阅响应而影响投标的，结果由投标人负责。</w:t>
      </w:r>
    </w:p>
    <w:p w14:paraId="232280D2">
      <w:pPr>
        <w:pStyle w:val="19"/>
        <w:rPr>
          <w:color w:val="000000" w:themeColor="text1"/>
          <w14:textFill>
            <w14:solidFill>
              <w14:schemeClr w14:val="tx1"/>
            </w14:solidFill>
          </w14:textFill>
        </w:rPr>
      </w:pPr>
    </w:p>
    <w:p w14:paraId="7DB4B8A6">
      <w:pP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br w:type="page"/>
      </w:r>
    </w:p>
    <w:p w14:paraId="191CB9A2">
      <w:pPr>
        <w:pageBreakBefore w:val="0"/>
        <w:widowControl w:val="0"/>
        <w:kinsoku/>
        <w:wordWrap/>
        <w:overflowPunct/>
        <w:topLinePunct w:val="0"/>
        <w:bidi w:val="0"/>
        <w:snapToGrid/>
        <w:spacing w:line="460" w:lineRule="exact"/>
        <w:ind w:firstLine="422" w:firstLineChars="200"/>
        <w:jc w:val="left"/>
        <w:textAlignment w:val="auto"/>
        <w:rPr>
          <w:b/>
          <w:color w:val="000000" w:themeColor="text1"/>
          <w:szCs w:val="21"/>
          <w14:textFill>
            <w14:solidFill>
              <w14:schemeClr w14:val="tx1"/>
            </w14:solidFill>
          </w14:textFill>
        </w:rPr>
      </w:pPr>
      <w:r>
        <w:rPr>
          <w:b/>
          <w:bCs/>
          <w:color w:val="000000" w:themeColor="text1"/>
          <w:szCs w:val="21"/>
          <w14:textFill>
            <w14:solidFill>
              <w14:schemeClr w14:val="tx1"/>
            </w14:solidFill>
          </w14:textFill>
        </w:rPr>
        <w:t>1.总则</w:t>
      </w:r>
      <w:bookmarkEnd w:id="36"/>
      <w:bookmarkEnd w:id="37"/>
      <w:bookmarkEnd w:id="38"/>
      <w:bookmarkEnd w:id="39"/>
      <w:bookmarkEnd w:id="40"/>
      <w:bookmarkEnd w:id="41"/>
      <w:bookmarkEnd w:id="42"/>
      <w:bookmarkEnd w:id="43"/>
      <w:bookmarkEnd w:id="44"/>
      <w:bookmarkEnd w:id="45"/>
      <w:bookmarkEnd w:id="46"/>
    </w:p>
    <w:p w14:paraId="7E0A431B">
      <w:pPr>
        <w:pStyle w:val="5"/>
        <w:pageBreakBefore w:val="0"/>
        <w:widowControl w:val="0"/>
        <w:kinsoku/>
        <w:wordWrap/>
        <w:overflowPunct/>
        <w:topLinePunct w:val="0"/>
        <w:bidi w:val="0"/>
        <w:snapToGrid/>
        <w:spacing w:before="0" w:after="0" w:line="460" w:lineRule="exact"/>
        <w:ind w:firstLine="420" w:firstLineChars="200"/>
        <w:jc w:val="left"/>
        <w:textAlignment w:val="auto"/>
        <w:rPr>
          <w:rFonts w:hAnsi="Times New Roman" w:eastAsia="宋体"/>
          <w:color w:val="000000" w:themeColor="text1"/>
          <w:sz w:val="21"/>
          <w:szCs w:val="21"/>
          <w14:textFill>
            <w14:solidFill>
              <w14:schemeClr w14:val="tx1"/>
            </w14:solidFill>
          </w14:textFill>
        </w:rPr>
      </w:pPr>
      <w:bookmarkStart w:id="47" w:name="_Toc5365"/>
      <w:bookmarkStart w:id="48" w:name="_Toc387526180"/>
      <w:bookmarkStart w:id="49" w:name="_Toc397928550"/>
      <w:bookmarkStart w:id="50" w:name="_Toc508216880"/>
      <w:bookmarkStart w:id="51" w:name="_Toc387526284"/>
      <w:bookmarkStart w:id="52" w:name="_Toc387526376"/>
      <w:r>
        <w:rPr>
          <w:rFonts w:hAnsi="Times New Roman" w:eastAsia="宋体"/>
          <w:color w:val="000000" w:themeColor="text1"/>
          <w:sz w:val="21"/>
          <w:szCs w:val="21"/>
          <w14:textFill>
            <w14:solidFill>
              <w14:schemeClr w14:val="tx1"/>
            </w14:solidFill>
          </w14:textFill>
        </w:rPr>
        <w:t>1.1 项目概况</w:t>
      </w:r>
      <w:bookmarkEnd w:id="47"/>
      <w:bookmarkEnd w:id="48"/>
      <w:bookmarkEnd w:id="49"/>
      <w:bookmarkEnd w:id="50"/>
      <w:bookmarkEnd w:id="51"/>
      <w:bookmarkEnd w:id="52"/>
    </w:p>
    <w:p w14:paraId="6ABD590B">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1.1.1根据有关法律、法规和规章的规定，本招标项目已具备招标条件，现对本项目</w:t>
      </w:r>
      <w:r>
        <w:rPr>
          <w:rFonts w:hint="eastAsia"/>
          <w:color w:val="000000" w:themeColor="text1"/>
          <w:szCs w:val="21"/>
          <w14:textFill>
            <w14:solidFill>
              <w14:schemeClr w14:val="tx1"/>
            </w14:solidFill>
          </w14:textFill>
        </w:rPr>
        <w:t>货物</w:t>
      </w:r>
      <w:r>
        <w:rPr>
          <w:color w:val="000000" w:themeColor="text1"/>
          <w:szCs w:val="21"/>
          <w14:textFill>
            <w14:solidFill>
              <w14:schemeClr w14:val="tx1"/>
            </w14:solidFill>
          </w14:textFill>
        </w:rPr>
        <w:t>进行招标。</w:t>
      </w:r>
    </w:p>
    <w:p w14:paraId="7D0DED1C">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1.1.2本招标项目招标人：见投标人须知前附表。</w:t>
      </w:r>
    </w:p>
    <w:p w14:paraId="1A4E3D84">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1.1.3本招标项目招标代理机构：见投标人须知前附表。</w:t>
      </w:r>
    </w:p>
    <w:p w14:paraId="469AAB9F">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1.1.4本招标项目名称：见投标人须知前附表。</w:t>
      </w:r>
    </w:p>
    <w:p w14:paraId="36B6D538">
      <w:pPr>
        <w:pStyle w:val="5"/>
        <w:pageBreakBefore w:val="0"/>
        <w:widowControl w:val="0"/>
        <w:kinsoku/>
        <w:wordWrap/>
        <w:overflowPunct/>
        <w:topLinePunct w:val="0"/>
        <w:bidi w:val="0"/>
        <w:snapToGrid/>
        <w:spacing w:before="0" w:after="0" w:line="460" w:lineRule="exact"/>
        <w:ind w:firstLine="420" w:firstLineChars="200"/>
        <w:jc w:val="left"/>
        <w:textAlignment w:val="auto"/>
        <w:rPr>
          <w:rFonts w:hAnsi="Times New Roman" w:eastAsia="宋体"/>
          <w:color w:val="000000" w:themeColor="text1"/>
          <w:sz w:val="21"/>
          <w:szCs w:val="21"/>
          <w14:textFill>
            <w14:solidFill>
              <w14:schemeClr w14:val="tx1"/>
            </w14:solidFill>
          </w14:textFill>
        </w:rPr>
      </w:pPr>
      <w:bookmarkStart w:id="53" w:name="_Toc387526285"/>
      <w:bookmarkStart w:id="54" w:name="_Toc387526377"/>
      <w:bookmarkStart w:id="55" w:name="_Toc508216881"/>
      <w:bookmarkStart w:id="56" w:name="_Toc387526181"/>
      <w:bookmarkStart w:id="57" w:name="_Toc397928551"/>
      <w:bookmarkStart w:id="58" w:name="_Toc11796"/>
      <w:r>
        <w:rPr>
          <w:rFonts w:hAnsi="Times New Roman" w:eastAsia="宋体"/>
          <w:color w:val="000000" w:themeColor="text1"/>
          <w:sz w:val="21"/>
          <w:szCs w:val="21"/>
          <w14:textFill>
            <w14:solidFill>
              <w14:schemeClr w14:val="tx1"/>
            </w14:solidFill>
          </w14:textFill>
        </w:rPr>
        <w:t>1.2 资金来源和落实情况</w:t>
      </w:r>
      <w:bookmarkEnd w:id="53"/>
      <w:bookmarkEnd w:id="54"/>
      <w:bookmarkEnd w:id="55"/>
      <w:bookmarkEnd w:id="56"/>
      <w:bookmarkEnd w:id="57"/>
      <w:bookmarkEnd w:id="58"/>
    </w:p>
    <w:p w14:paraId="1F1E92BF">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1.2.1本招标项目的资金来源：见投标人须知前附表。</w:t>
      </w:r>
    </w:p>
    <w:p w14:paraId="72F07536">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1.2.2本招标项目的出资比例：见投标人须知前附表。</w:t>
      </w:r>
    </w:p>
    <w:p w14:paraId="0DCD91EE">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1.2.3本招标项目的资金落实情况：见投标人须知前附表。</w:t>
      </w:r>
    </w:p>
    <w:p w14:paraId="22640DF0">
      <w:pPr>
        <w:pStyle w:val="5"/>
        <w:pageBreakBefore w:val="0"/>
        <w:widowControl w:val="0"/>
        <w:kinsoku/>
        <w:wordWrap/>
        <w:overflowPunct/>
        <w:topLinePunct w:val="0"/>
        <w:bidi w:val="0"/>
        <w:snapToGrid/>
        <w:spacing w:before="0" w:after="0" w:line="460" w:lineRule="exact"/>
        <w:ind w:firstLine="420" w:firstLineChars="200"/>
        <w:jc w:val="left"/>
        <w:textAlignment w:val="auto"/>
        <w:rPr>
          <w:rFonts w:hAnsi="Times New Roman" w:eastAsia="宋体"/>
          <w:color w:val="000000" w:themeColor="text1"/>
          <w:sz w:val="21"/>
          <w:szCs w:val="21"/>
          <w14:textFill>
            <w14:solidFill>
              <w14:schemeClr w14:val="tx1"/>
            </w14:solidFill>
          </w14:textFill>
        </w:rPr>
      </w:pPr>
      <w:bookmarkStart w:id="59" w:name="_Toc387526182"/>
      <w:bookmarkStart w:id="60" w:name="_Toc853"/>
      <w:bookmarkStart w:id="61" w:name="_Toc387526286"/>
      <w:bookmarkStart w:id="62" w:name="_Toc508216882"/>
      <w:bookmarkStart w:id="63" w:name="_Toc387526378"/>
      <w:bookmarkStart w:id="64" w:name="_Toc397928552"/>
      <w:r>
        <w:rPr>
          <w:rFonts w:hAnsi="Times New Roman" w:eastAsia="宋体"/>
          <w:color w:val="000000" w:themeColor="text1"/>
          <w:sz w:val="21"/>
          <w:szCs w:val="21"/>
          <w14:textFill>
            <w14:solidFill>
              <w14:schemeClr w14:val="tx1"/>
            </w14:solidFill>
          </w14:textFill>
        </w:rPr>
        <w:t>1.3 招标范围、</w:t>
      </w:r>
      <w:r>
        <w:rPr>
          <w:rFonts w:hint="eastAsia" w:hAnsi="Times New Roman" w:eastAsia="宋体"/>
          <w:color w:val="000000" w:themeColor="text1"/>
          <w:sz w:val="21"/>
          <w:szCs w:val="21"/>
          <w14:textFill>
            <w14:solidFill>
              <w14:schemeClr w14:val="tx1"/>
            </w14:solidFill>
          </w14:textFill>
        </w:rPr>
        <w:t>合同履行期限、服务地点</w:t>
      </w:r>
      <w:r>
        <w:rPr>
          <w:rFonts w:hAnsi="Times New Roman" w:eastAsia="宋体"/>
          <w:color w:val="000000" w:themeColor="text1"/>
          <w:sz w:val="21"/>
          <w:szCs w:val="21"/>
          <w14:textFill>
            <w14:solidFill>
              <w14:schemeClr w14:val="tx1"/>
            </w14:solidFill>
          </w14:textFill>
        </w:rPr>
        <w:t>和质量要求</w:t>
      </w:r>
      <w:bookmarkEnd w:id="59"/>
      <w:bookmarkEnd w:id="60"/>
      <w:bookmarkEnd w:id="61"/>
      <w:bookmarkEnd w:id="62"/>
      <w:bookmarkEnd w:id="63"/>
      <w:bookmarkEnd w:id="64"/>
    </w:p>
    <w:p w14:paraId="737765AF">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1.3.1本次招标范围：见投标人须知前附表。</w:t>
      </w:r>
    </w:p>
    <w:p w14:paraId="4684DEF0">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1.3.2本招标项目的</w:t>
      </w:r>
      <w:r>
        <w:rPr>
          <w:rFonts w:hint="eastAsia"/>
          <w:color w:val="000000" w:themeColor="text1"/>
          <w:szCs w:val="21"/>
          <w14:textFill>
            <w14:solidFill>
              <w14:schemeClr w14:val="tx1"/>
            </w14:solidFill>
          </w14:textFill>
        </w:rPr>
        <w:t>合同履行期限</w:t>
      </w:r>
      <w:r>
        <w:rPr>
          <w:color w:val="000000" w:themeColor="text1"/>
          <w:szCs w:val="21"/>
          <w14:textFill>
            <w14:solidFill>
              <w14:schemeClr w14:val="tx1"/>
            </w14:solidFill>
          </w14:textFill>
        </w:rPr>
        <w:t>：见投标人须知前附表。</w:t>
      </w:r>
    </w:p>
    <w:p w14:paraId="72697A78">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1.3.3本招标项目的服务地点：见投标人须知前附表。</w:t>
      </w:r>
    </w:p>
    <w:p w14:paraId="538C5344">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1.3.4本招标项目的质量要求及验收标准：见投标人须知前附表。</w:t>
      </w:r>
    </w:p>
    <w:p w14:paraId="49633357">
      <w:pPr>
        <w:pStyle w:val="5"/>
        <w:pageBreakBefore w:val="0"/>
        <w:widowControl w:val="0"/>
        <w:kinsoku/>
        <w:wordWrap/>
        <w:overflowPunct/>
        <w:topLinePunct w:val="0"/>
        <w:bidi w:val="0"/>
        <w:snapToGrid/>
        <w:spacing w:before="0" w:after="0" w:line="460" w:lineRule="exact"/>
        <w:ind w:firstLine="420" w:firstLineChars="200"/>
        <w:jc w:val="left"/>
        <w:textAlignment w:val="auto"/>
        <w:rPr>
          <w:rFonts w:hAnsi="Times New Roman" w:eastAsia="宋体"/>
          <w:color w:val="000000" w:themeColor="text1"/>
          <w:sz w:val="21"/>
          <w:szCs w:val="21"/>
          <w14:textFill>
            <w14:solidFill>
              <w14:schemeClr w14:val="tx1"/>
            </w14:solidFill>
          </w14:textFill>
        </w:rPr>
      </w:pPr>
      <w:bookmarkStart w:id="65" w:name="_Toc508216883"/>
      <w:bookmarkStart w:id="66" w:name="_Toc387526183"/>
      <w:bookmarkStart w:id="67" w:name="_Toc13930"/>
      <w:bookmarkStart w:id="68" w:name="_Toc387526379"/>
      <w:bookmarkStart w:id="69" w:name="_Toc387526287"/>
      <w:bookmarkStart w:id="70" w:name="_Toc397928553"/>
      <w:r>
        <w:rPr>
          <w:rFonts w:hAnsi="Times New Roman" w:eastAsia="宋体"/>
          <w:color w:val="000000" w:themeColor="text1"/>
          <w:sz w:val="21"/>
          <w:szCs w:val="21"/>
          <w14:textFill>
            <w14:solidFill>
              <w14:schemeClr w14:val="tx1"/>
            </w14:solidFill>
          </w14:textFill>
        </w:rPr>
        <w:t>1.4 投标人资格要求</w:t>
      </w:r>
      <w:bookmarkEnd w:id="65"/>
      <w:bookmarkEnd w:id="66"/>
      <w:bookmarkEnd w:id="67"/>
      <w:bookmarkEnd w:id="68"/>
      <w:bookmarkEnd w:id="69"/>
      <w:bookmarkEnd w:id="70"/>
    </w:p>
    <w:p w14:paraId="7DB57010">
      <w:pPr>
        <w:pageBreakBefore w:val="0"/>
        <w:widowControl w:val="0"/>
        <w:kinsoku/>
        <w:wordWrap/>
        <w:overflowPunct/>
        <w:topLinePunct w:val="0"/>
        <w:autoSpaceDE w:val="0"/>
        <w:autoSpaceDN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1.4.1 投标人应具备的资格要求见投标人须知前附表。</w:t>
      </w:r>
    </w:p>
    <w:p w14:paraId="3498FF63">
      <w:pPr>
        <w:pageBreakBefore w:val="0"/>
        <w:widowControl w:val="0"/>
        <w:kinsoku/>
        <w:wordWrap/>
        <w:overflowPunct/>
        <w:topLinePunct w:val="0"/>
        <w:autoSpaceDE w:val="0"/>
        <w:autoSpaceDN w:val="0"/>
        <w:bidi w:val="0"/>
        <w:snapToGrid/>
        <w:spacing w:line="460" w:lineRule="exact"/>
        <w:ind w:firstLine="420" w:firstLineChars="200"/>
        <w:jc w:val="left"/>
        <w:textAlignment w:val="auto"/>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 xml:space="preserve">1.4.2 </w:t>
      </w:r>
      <w:r>
        <w:rPr>
          <w:rFonts w:hint="eastAsia"/>
          <w:color w:val="000000" w:themeColor="text1"/>
          <w:szCs w:val="21"/>
          <w14:textFill>
            <w14:solidFill>
              <w14:schemeClr w14:val="tx1"/>
            </w14:solidFill>
          </w14:textFill>
        </w:rPr>
        <w:t>本项目不接受联合体投标。</w:t>
      </w:r>
    </w:p>
    <w:p w14:paraId="6C8A5041">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1.4.3 投标人不得存在下列情形之一： </w:t>
      </w:r>
    </w:p>
    <w:p w14:paraId="1135BEE8">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bookmarkStart w:id="71" w:name="_Toc387526184"/>
      <w:bookmarkStart w:id="72" w:name="_Toc387526288"/>
      <w:bookmarkStart w:id="73" w:name="_Toc1684"/>
      <w:bookmarkStart w:id="74" w:name="_Toc387526380"/>
      <w:r>
        <w:rPr>
          <w:color w:val="000000" w:themeColor="text1"/>
          <w:szCs w:val="21"/>
          <w14:textFill>
            <w14:solidFill>
              <w14:schemeClr w14:val="tx1"/>
            </w14:solidFill>
          </w14:textFill>
        </w:rPr>
        <w:t xml:space="preserve">（1）为招标人的附属机构（单位）； </w:t>
      </w:r>
    </w:p>
    <w:p w14:paraId="55E99655">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（2）为本标段的监理人；</w:t>
      </w:r>
    </w:p>
    <w:p w14:paraId="7D3922BA">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（3）为本标段的代建人；</w:t>
      </w:r>
    </w:p>
    <w:p w14:paraId="13F63056">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（4）为本标段提供招标代理服务的；</w:t>
      </w:r>
    </w:p>
    <w:p w14:paraId="66A902F8">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（5）与本标段的监理人或代建人或招标代理机构的单位负责人为同一个人的； </w:t>
      </w:r>
    </w:p>
    <w:p w14:paraId="7CE3D8FA">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（6）与本标段的监理人或代建人或招标代理机构相互控股或参股的；</w:t>
      </w:r>
    </w:p>
    <w:p w14:paraId="4C07FCCF">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（7）与本标段的其他申请人的单位负责人为同一个人的；</w:t>
      </w:r>
    </w:p>
    <w:p w14:paraId="697A7321">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（8）与本标段的其他申请人之间存在控股、管理关系或母公司、全资子公司关系的；</w:t>
      </w:r>
    </w:p>
    <w:p w14:paraId="199FA257">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（9）法律法规规定的其他情形。</w:t>
      </w:r>
    </w:p>
    <w:p w14:paraId="1C23A5EB">
      <w:pPr>
        <w:pStyle w:val="5"/>
        <w:pageBreakBefore w:val="0"/>
        <w:widowControl w:val="0"/>
        <w:kinsoku/>
        <w:wordWrap/>
        <w:overflowPunct/>
        <w:topLinePunct w:val="0"/>
        <w:bidi w:val="0"/>
        <w:snapToGrid/>
        <w:spacing w:before="0" w:after="0" w:line="460" w:lineRule="exact"/>
        <w:ind w:firstLine="420" w:firstLineChars="200"/>
        <w:jc w:val="left"/>
        <w:textAlignment w:val="auto"/>
        <w:rPr>
          <w:rFonts w:hAnsi="Times New Roman" w:eastAsia="宋体"/>
          <w:color w:val="000000" w:themeColor="text1"/>
          <w:sz w:val="21"/>
          <w:szCs w:val="21"/>
          <w14:textFill>
            <w14:solidFill>
              <w14:schemeClr w14:val="tx1"/>
            </w14:solidFill>
          </w14:textFill>
        </w:rPr>
      </w:pPr>
      <w:bookmarkStart w:id="75" w:name="_Toc397928554"/>
      <w:bookmarkStart w:id="76" w:name="_Toc508216884"/>
      <w:r>
        <w:rPr>
          <w:rFonts w:hAnsi="Times New Roman" w:eastAsia="宋体"/>
          <w:color w:val="000000" w:themeColor="text1"/>
          <w:sz w:val="21"/>
          <w:szCs w:val="21"/>
          <w14:textFill>
            <w14:solidFill>
              <w14:schemeClr w14:val="tx1"/>
            </w14:solidFill>
          </w14:textFill>
        </w:rPr>
        <w:t>1.5 费用承担</w:t>
      </w:r>
      <w:bookmarkEnd w:id="71"/>
      <w:bookmarkEnd w:id="72"/>
      <w:bookmarkEnd w:id="73"/>
      <w:bookmarkEnd w:id="74"/>
      <w:bookmarkEnd w:id="75"/>
      <w:bookmarkEnd w:id="76"/>
    </w:p>
    <w:p w14:paraId="1EA0F8B2">
      <w:pPr>
        <w:pageBreakBefore w:val="0"/>
        <w:widowControl w:val="0"/>
        <w:kinsoku/>
        <w:wordWrap/>
        <w:overflowPunct/>
        <w:topLinePunct w:val="0"/>
        <w:autoSpaceDE w:val="0"/>
        <w:autoSpaceDN w:val="0"/>
        <w:bidi w:val="0"/>
        <w:snapToGrid/>
        <w:spacing w:line="460" w:lineRule="exact"/>
        <w:ind w:firstLine="420" w:firstLineChars="200"/>
        <w:jc w:val="left"/>
        <w:textAlignment w:val="auto"/>
        <w:rPr>
          <w:b/>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投标人准备和参加投标活动发生的费用自理。</w:t>
      </w:r>
    </w:p>
    <w:p w14:paraId="207193B7">
      <w:pPr>
        <w:pStyle w:val="5"/>
        <w:pageBreakBefore w:val="0"/>
        <w:widowControl w:val="0"/>
        <w:kinsoku/>
        <w:wordWrap/>
        <w:overflowPunct/>
        <w:topLinePunct w:val="0"/>
        <w:bidi w:val="0"/>
        <w:snapToGrid/>
        <w:spacing w:before="0" w:after="0" w:line="460" w:lineRule="exact"/>
        <w:ind w:firstLine="420" w:firstLineChars="200"/>
        <w:jc w:val="left"/>
        <w:textAlignment w:val="auto"/>
        <w:rPr>
          <w:rFonts w:hAnsi="Times New Roman" w:eastAsia="宋体"/>
          <w:color w:val="000000" w:themeColor="text1"/>
          <w:sz w:val="21"/>
          <w:szCs w:val="21"/>
          <w14:textFill>
            <w14:solidFill>
              <w14:schemeClr w14:val="tx1"/>
            </w14:solidFill>
          </w14:textFill>
        </w:rPr>
      </w:pPr>
      <w:bookmarkStart w:id="77" w:name="_Toc397928555"/>
      <w:bookmarkStart w:id="78" w:name="_Toc387526381"/>
      <w:bookmarkStart w:id="79" w:name="_Toc508216885"/>
      <w:bookmarkStart w:id="80" w:name="_Toc387526185"/>
      <w:bookmarkStart w:id="81" w:name="_Toc387526289"/>
      <w:bookmarkStart w:id="82" w:name="_Toc5130"/>
      <w:r>
        <w:rPr>
          <w:rFonts w:hAnsi="Times New Roman" w:eastAsia="宋体"/>
          <w:color w:val="000000" w:themeColor="text1"/>
          <w:sz w:val="21"/>
          <w:szCs w:val="21"/>
          <w14:textFill>
            <w14:solidFill>
              <w14:schemeClr w14:val="tx1"/>
            </w14:solidFill>
          </w14:textFill>
        </w:rPr>
        <w:t>1.6 保密</w:t>
      </w:r>
      <w:bookmarkEnd w:id="77"/>
      <w:bookmarkEnd w:id="78"/>
      <w:bookmarkEnd w:id="79"/>
      <w:bookmarkEnd w:id="80"/>
      <w:bookmarkEnd w:id="81"/>
      <w:bookmarkEnd w:id="82"/>
    </w:p>
    <w:p w14:paraId="403C9F29">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参与招标投标活动的各方应对招标文件和投标文件中的商业和技术等秘密保密，违者应对由此造成的后果承担法律责任。</w:t>
      </w:r>
    </w:p>
    <w:p w14:paraId="70B2ACE7">
      <w:pPr>
        <w:pStyle w:val="5"/>
        <w:pageBreakBefore w:val="0"/>
        <w:widowControl w:val="0"/>
        <w:kinsoku/>
        <w:wordWrap/>
        <w:overflowPunct/>
        <w:topLinePunct w:val="0"/>
        <w:bidi w:val="0"/>
        <w:snapToGrid/>
        <w:spacing w:before="0" w:after="0" w:line="460" w:lineRule="exact"/>
        <w:ind w:firstLine="420" w:firstLineChars="200"/>
        <w:jc w:val="left"/>
        <w:textAlignment w:val="auto"/>
        <w:rPr>
          <w:rFonts w:hAnsi="Times New Roman" w:eastAsia="宋体"/>
          <w:color w:val="000000" w:themeColor="text1"/>
          <w:sz w:val="21"/>
          <w:szCs w:val="21"/>
          <w14:textFill>
            <w14:solidFill>
              <w14:schemeClr w14:val="tx1"/>
            </w14:solidFill>
          </w14:textFill>
        </w:rPr>
      </w:pPr>
      <w:bookmarkStart w:id="83" w:name="_Toc397928556"/>
      <w:bookmarkStart w:id="84" w:name="_Toc387526382"/>
      <w:bookmarkStart w:id="85" w:name="_Toc508216886"/>
      <w:bookmarkStart w:id="86" w:name="_Toc387526186"/>
      <w:bookmarkStart w:id="87" w:name="_Toc387526290"/>
      <w:bookmarkStart w:id="88" w:name="_Toc822"/>
      <w:r>
        <w:rPr>
          <w:rFonts w:hAnsi="Times New Roman" w:eastAsia="宋体"/>
          <w:color w:val="000000" w:themeColor="text1"/>
          <w:sz w:val="21"/>
          <w:szCs w:val="21"/>
          <w14:textFill>
            <w14:solidFill>
              <w14:schemeClr w14:val="tx1"/>
            </w14:solidFill>
          </w14:textFill>
        </w:rPr>
        <w:t>1.7 语言文字</w:t>
      </w:r>
      <w:bookmarkEnd w:id="83"/>
      <w:bookmarkEnd w:id="84"/>
      <w:bookmarkEnd w:id="85"/>
      <w:bookmarkEnd w:id="86"/>
      <w:bookmarkEnd w:id="87"/>
      <w:bookmarkEnd w:id="88"/>
    </w:p>
    <w:p w14:paraId="119FFEED">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除专用术语外，与招标投标有关的语言均使用中文。必要时专用术语应附有中文注释。</w:t>
      </w:r>
    </w:p>
    <w:p w14:paraId="420377E1">
      <w:pPr>
        <w:pStyle w:val="5"/>
        <w:pageBreakBefore w:val="0"/>
        <w:widowControl w:val="0"/>
        <w:kinsoku/>
        <w:wordWrap/>
        <w:overflowPunct/>
        <w:topLinePunct w:val="0"/>
        <w:bidi w:val="0"/>
        <w:snapToGrid/>
        <w:spacing w:before="0" w:after="0" w:line="460" w:lineRule="exact"/>
        <w:ind w:firstLine="420" w:firstLineChars="200"/>
        <w:jc w:val="left"/>
        <w:textAlignment w:val="auto"/>
        <w:rPr>
          <w:rFonts w:hAnsi="Times New Roman" w:eastAsia="宋体"/>
          <w:color w:val="000000" w:themeColor="text1"/>
          <w:sz w:val="21"/>
          <w:szCs w:val="21"/>
          <w14:textFill>
            <w14:solidFill>
              <w14:schemeClr w14:val="tx1"/>
            </w14:solidFill>
          </w14:textFill>
        </w:rPr>
      </w:pPr>
      <w:bookmarkStart w:id="89" w:name="_Toc387526187"/>
      <w:bookmarkStart w:id="90" w:name="_Toc31413"/>
      <w:bookmarkStart w:id="91" w:name="_Toc508216887"/>
      <w:bookmarkStart w:id="92" w:name="_Toc387526383"/>
      <w:bookmarkStart w:id="93" w:name="_Toc387526291"/>
      <w:bookmarkStart w:id="94" w:name="_Toc397928557"/>
      <w:r>
        <w:rPr>
          <w:rFonts w:hAnsi="Times New Roman" w:eastAsia="宋体"/>
          <w:color w:val="000000" w:themeColor="text1"/>
          <w:sz w:val="21"/>
          <w:szCs w:val="21"/>
          <w14:textFill>
            <w14:solidFill>
              <w14:schemeClr w14:val="tx1"/>
            </w14:solidFill>
          </w14:textFill>
        </w:rPr>
        <w:t>1.8 计量单位</w:t>
      </w:r>
      <w:bookmarkEnd w:id="89"/>
      <w:bookmarkEnd w:id="90"/>
      <w:bookmarkEnd w:id="91"/>
      <w:bookmarkEnd w:id="92"/>
      <w:bookmarkEnd w:id="93"/>
      <w:bookmarkEnd w:id="94"/>
    </w:p>
    <w:p w14:paraId="1A1ACBE8">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所有计量均采用中华人民共和国法定计量单位。</w:t>
      </w:r>
    </w:p>
    <w:p w14:paraId="110D3C9B">
      <w:pPr>
        <w:pStyle w:val="5"/>
        <w:pageBreakBefore w:val="0"/>
        <w:widowControl w:val="0"/>
        <w:kinsoku/>
        <w:wordWrap/>
        <w:overflowPunct/>
        <w:topLinePunct w:val="0"/>
        <w:bidi w:val="0"/>
        <w:snapToGrid/>
        <w:spacing w:before="0" w:after="0" w:line="460" w:lineRule="exact"/>
        <w:ind w:firstLine="420" w:firstLineChars="200"/>
        <w:jc w:val="left"/>
        <w:textAlignment w:val="auto"/>
        <w:rPr>
          <w:rFonts w:hAnsi="Times New Roman" w:eastAsia="宋体"/>
          <w:color w:val="000000" w:themeColor="text1"/>
          <w:sz w:val="21"/>
          <w:szCs w:val="21"/>
          <w14:textFill>
            <w14:solidFill>
              <w14:schemeClr w14:val="tx1"/>
            </w14:solidFill>
          </w14:textFill>
        </w:rPr>
      </w:pPr>
      <w:bookmarkStart w:id="95" w:name="_Toc387526188"/>
      <w:bookmarkStart w:id="96" w:name="_Toc387526384"/>
      <w:bookmarkStart w:id="97" w:name="_Toc508216888"/>
      <w:bookmarkStart w:id="98" w:name="_Toc397928558"/>
      <w:bookmarkStart w:id="99" w:name="_Toc25122"/>
      <w:bookmarkStart w:id="100" w:name="_Toc387526292"/>
      <w:r>
        <w:rPr>
          <w:rFonts w:hAnsi="Times New Roman" w:eastAsia="宋体"/>
          <w:color w:val="000000" w:themeColor="text1"/>
          <w:sz w:val="21"/>
          <w:szCs w:val="21"/>
          <w14:textFill>
            <w14:solidFill>
              <w14:schemeClr w14:val="tx1"/>
            </w14:solidFill>
          </w14:textFill>
        </w:rPr>
        <w:t>1.9 踏勘现场</w:t>
      </w:r>
      <w:bookmarkEnd w:id="95"/>
      <w:bookmarkEnd w:id="96"/>
      <w:bookmarkEnd w:id="97"/>
      <w:bookmarkEnd w:id="98"/>
      <w:bookmarkEnd w:id="99"/>
      <w:bookmarkEnd w:id="100"/>
    </w:p>
    <w:p w14:paraId="43DAB810">
      <w:pPr>
        <w:pageBreakBefore w:val="0"/>
        <w:widowControl w:val="0"/>
        <w:kinsoku/>
        <w:wordWrap/>
        <w:overflowPunct/>
        <w:topLinePunct w:val="0"/>
        <w:autoSpaceDE w:val="0"/>
        <w:autoSpaceDN w:val="0"/>
        <w:bidi w:val="0"/>
        <w:snapToGrid/>
        <w:spacing w:line="460" w:lineRule="exact"/>
        <w:ind w:firstLine="420" w:firstLineChars="200"/>
        <w:jc w:val="left"/>
        <w:textAlignment w:val="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1.9.1招标人不组织投标人踏勘现场，投标人可以自行对工程施工现场和周围环境进行勘察，以获取编制投标文件和签署合同所需的所有资料。</w:t>
      </w:r>
    </w:p>
    <w:p w14:paraId="38D408AB">
      <w:pPr>
        <w:pageBreakBefore w:val="0"/>
        <w:widowControl w:val="0"/>
        <w:kinsoku/>
        <w:wordWrap/>
        <w:overflowPunct/>
        <w:topLinePunct w:val="0"/>
        <w:autoSpaceDE w:val="0"/>
        <w:autoSpaceDN w:val="0"/>
        <w:bidi w:val="0"/>
        <w:snapToGrid/>
        <w:spacing w:line="460" w:lineRule="exact"/>
        <w:ind w:firstLine="420" w:firstLineChars="200"/>
        <w:jc w:val="left"/>
        <w:textAlignment w:val="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1.9.2 投标人踏勘现场发生的费用自理。</w:t>
      </w:r>
    </w:p>
    <w:p w14:paraId="395D4D35">
      <w:pPr>
        <w:pageBreakBefore w:val="0"/>
        <w:widowControl w:val="0"/>
        <w:kinsoku/>
        <w:wordWrap/>
        <w:overflowPunct/>
        <w:topLinePunct w:val="0"/>
        <w:autoSpaceDE w:val="0"/>
        <w:autoSpaceDN w:val="0"/>
        <w:bidi w:val="0"/>
        <w:snapToGrid/>
        <w:spacing w:line="460" w:lineRule="exact"/>
        <w:ind w:firstLine="420" w:firstLineChars="200"/>
        <w:jc w:val="left"/>
        <w:textAlignment w:val="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1.9.3 除招标人的原因外，投标人自行负责在踏勘现场中所发生的人员伤亡和财产损失。</w:t>
      </w:r>
    </w:p>
    <w:p w14:paraId="4B67AFDD">
      <w:pPr>
        <w:pageBreakBefore w:val="0"/>
        <w:widowControl w:val="0"/>
        <w:kinsoku/>
        <w:wordWrap/>
        <w:overflowPunct/>
        <w:topLinePunct w:val="0"/>
        <w:autoSpaceDE w:val="0"/>
        <w:autoSpaceDN w:val="0"/>
        <w:bidi w:val="0"/>
        <w:snapToGrid/>
        <w:spacing w:line="460" w:lineRule="exact"/>
        <w:ind w:firstLine="420" w:firstLineChars="200"/>
        <w:jc w:val="left"/>
        <w:textAlignment w:val="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1.9.4 招标人向投标人提供的有关施工现场的资料和数据是招标人现有的能使投标人利用的资料。招标人对投标人由此而做出的推论、理解和结论概不负责。</w:t>
      </w:r>
    </w:p>
    <w:p w14:paraId="63D2814F">
      <w:pPr>
        <w:pStyle w:val="5"/>
        <w:pageBreakBefore w:val="0"/>
        <w:widowControl w:val="0"/>
        <w:kinsoku/>
        <w:wordWrap/>
        <w:overflowPunct/>
        <w:topLinePunct w:val="0"/>
        <w:bidi w:val="0"/>
        <w:snapToGrid/>
        <w:spacing w:before="0" w:after="0" w:line="460" w:lineRule="exact"/>
        <w:ind w:firstLine="420" w:firstLineChars="200"/>
        <w:jc w:val="left"/>
        <w:textAlignment w:val="auto"/>
        <w:rPr>
          <w:rFonts w:hAnsi="Times New Roman" w:eastAsia="宋体"/>
          <w:color w:val="000000" w:themeColor="text1"/>
          <w:sz w:val="21"/>
          <w:szCs w:val="21"/>
          <w14:textFill>
            <w14:solidFill>
              <w14:schemeClr w14:val="tx1"/>
            </w14:solidFill>
          </w14:textFill>
        </w:rPr>
      </w:pPr>
      <w:bookmarkStart w:id="101" w:name="_Toc387526293"/>
      <w:bookmarkStart w:id="102" w:name="_Toc387526385"/>
      <w:bookmarkStart w:id="103" w:name="_Toc508216889"/>
      <w:bookmarkStart w:id="104" w:name="_Toc387526189"/>
      <w:bookmarkStart w:id="105" w:name="_Toc11088"/>
      <w:bookmarkStart w:id="106" w:name="_Toc397928559"/>
      <w:r>
        <w:rPr>
          <w:rFonts w:hAnsi="Times New Roman" w:eastAsia="宋体"/>
          <w:color w:val="000000" w:themeColor="text1"/>
          <w:sz w:val="21"/>
          <w:szCs w:val="21"/>
          <w14:textFill>
            <w14:solidFill>
              <w14:schemeClr w14:val="tx1"/>
            </w14:solidFill>
          </w14:textFill>
        </w:rPr>
        <w:t>1.10 投标预备会</w:t>
      </w:r>
      <w:bookmarkEnd w:id="101"/>
      <w:bookmarkEnd w:id="102"/>
      <w:bookmarkEnd w:id="103"/>
      <w:bookmarkEnd w:id="104"/>
      <w:bookmarkEnd w:id="105"/>
      <w:bookmarkEnd w:id="106"/>
    </w:p>
    <w:p w14:paraId="1DB78D3E">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本项目不召开投标预备会。</w:t>
      </w:r>
    </w:p>
    <w:p w14:paraId="25B23953">
      <w:pPr>
        <w:pStyle w:val="5"/>
        <w:pageBreakBefore w:val="0"/>
        <w:widowControl w:val="0"/>
        <w:kinsoku/>
        <w:wordWrap/>
        <w:overflowPunct/>
        <w:topLinePunct w:val="0"/>
        <w:bidi w:val="0"/>
        <w:snapToGrid/>
        <w:spacing w:before="0" w:after="0" w:line="460" w:lineRule="exact"/>
        <w:ind w:firstLine="420" w:firstLineChars="200"/>
        <w:jc w:val="left"/>
        <w:textAlignment w:val="auto"/>
        <w:rPr>
          <w:rFonts w:hAnsi="Times New Roman" w:eastAsia="宋体"/>
          <w:color w:val="000000" w:themeColor="text1"/>
          <w:sz w:val="21"/>
          <w:szCs w:val="21"/>
          <w14:textFill>
            <w14:solidFill>
              <w14:schemeClr w14:val="tx1"/>
            </w14:solidFill>
          </w14:textFill>
        </w:rPr>
      </w:pPr>
      <w:bookmarkStart w:id="107" w:name="_Toc387526386"/>
      <w:bookmarkStart w:id="108" w:name="_Toc508216890"/>
      <w:bookmarkStart w:id="109" w:name="_Toc387526190"/>
      <w:bookmarkStart w:id="110" w:name="_Toc397928560"/>
      <w:bookmarkStart w:id="111" w:name="_Toc366679673"/>
      <w:bookmarkStart w:id="112" w:name="_Toc387526294"/>
      <w:bookmarkStart w:id="113" w:name="_Toc21970"/>
      <w:bookmarkStart w:id="114" w:name="_Toc367894799"/>
      <w:bookmarkStart w:id="115" w:name="_Toc363329371"/>
      <w:r>
        <w:rPr>
          <w:rFonts w:hAnsi="Times New Roman" w:eastAsia="宋体"/>
          <w:color w:val="000000" w:themeColor="text1"/>
          <w:sz w:val="21"/>
          <w:szCs w:val="21"/>
          <w14:textFill>
            <w14:solidFill>
              <w14:schemeClr w14:val="tx1"/>
            </w14:solidFill>
          </w14:textFill>
        </w:rPr>
        <w:t>1.11 偏离</w:t>
      </w:r>
      <w:bookmarkEnd w:id="107"/>
      <w:bookmarkEnd w:id="108"/>
      <w:bookmarkEnd w:id="109"/>
      <w:bookmarkEnd w:id="110"/>
      <w:bookmarkEnd w:id="111"/>
      <w:bookmarkEnd w:id="112"/>
      <w:bookmarkEnd w:id="113"/>
    </w:p>
    <w:p w14:paraId="414DE8AA">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投标人须知前附表允许投标文件偏离招标文件某些要求的，偏离应当符合招标文件规定的偏离范围和幅度。</w:t>
      </w:r>
    </w:p>
    <w:p w14:paraId="64E38E7C">
      <w:pPr>
        <w:pageBreakBefore w:val="0"/>
        <w:widowControl w:val="0"/>
        <w:kinsoku/>
        <w:wordWrap/>
        <w:overflowPunct/>
        <w:topLinePunct w:val="0"/>
        <w:bidi w:val="0"/>
        <w:snapToGrid/>
        <w:spacing w:line="460" w:lineRule="exact"/>
        <w:ind w:firstLine="420" w:firstLineChars="200"/>
        <w:textAlignment w:val="auto"/>
        <w:rPr>
          <w:rFonts w:hAnsi="黑体" w:eastAsia="黑体"/>
          <w:color w:val="000000" w:themeColor="text1"/>
          <w:szCs w:val="21"/>
          <w14:textFill>
            <w14:solidFill>
              <w14:schemeClr w14:val="tx1"/>
            </w14:solidFill>
          </w14:textFill>
        </w:rPr>
      </w:pPr>
      <w:r>
        <w:rPr>
          <w:rFonts w:hint="eastAsia" w:hAnsi="黑体" w:eastAsia="黑体"/>
          <w:color w:val="000000" w:themeColor="text1"/>
          <w:szCs w:val="21"/>
          <w14:textFill>
            <w14:solidFill>
              <w14:schemeClr w14:val="tx1"/>
            </w14:solidFill>
          </w14:textFill>
        </w:rPr>
        <w:t>1.12 特别说明：</w:t>
      </w:r>
    </w:p>
    <w:p w14:paraId="08DE04E4">
      <w:pPr>
        <w:pageBreakBefore w:val="0"/>
        <w:widowControl w:val="0"/>
        <w:kinsoku/>
        <w:wordWrap/>
        <w:overflowPunct/>
        <w:topLinePunct w:val="0"/>
        <w:bidi w:val="0"/>
        <w:snapToGrid/>
        <w:spacing w:line="460" w:lineRule="exact"/>
        <w:ind w:firstLine="420" w:firstLineChars="200"/>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 法定代表人为同一个人的两个及两个以上的法人、母公司、全资子公司及其控股公司，都不得在同一招标项目中同时投标。</w:t>
      </w:r>
    </w:p>
    <w:p w14:paraId="486E4A23">
      <w:pPr>
        <w:pageBreakBefore w:val="0"/>
        <w:widowControl w:val="0"/>
        <w:kinsoku/>
        <w:wordWrap/>
        <w:overflowPunct/>
        <w:topLinePunct w:val="0"/>
        <w:bidi w:val="0"/>
        <w:snapToGrid/>
        <w:spacing w:line="460" w:lineRule="exact"/>
        <w:ind w:firstLine="420" w:firstLineChars="200"/>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▲2.投标人投标所使用的采购项目实施人员必须为本单位员工（或必须为本单位分支机构正式员工）。</w:t>
      </w:r>
    </w:p>
    <w:p w14:paraId="4A1EFA1B">
      <w:pPr>
        <w:pageBreakBefore w:val="0"/>
        <w:widowControl w:val="0"/>
        <w:kinsoku/>
        <w:wordWrap/>
        <w:overflowPunct/>
        <w:topLinePunct w:val="0"/>
        <w:bidi w:val="0"/>
        <w:snapToGrid/>
        <w:spacing w:line="460" w:lineRule="exact"/>
        <w:ind w:firstLine="420" w:firstLineChars="200"/>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▲3.投标人应仔细阅读招标文件的所有内容，按照招标文件的要求提交投标文件，并对所提供的全部资料的真实性承担法律责任。</w:t>
      </w:r>
    </w:p>
    <w:p w14:paraId="216DAC09">
      <w:pPr>
        <w:pageBreakBefore w:val="0"/>
        <w:widowControl w:val="0"/>
        <w:kinsoku/>
        <w:wordWrap/>
        <w:overflowPunct/>
        <w:topLinePunct w:val="0"/>
        <w:bidi w:val="0"/>
        <w:snapToGrid/>
        <w:spacing w:line="460" w:lineRule="exact"/>
        <w:ind w:firstLine="420" w:firstLineChars="200"/>
        <w:textAlignment w:val="auto"/>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4.投标人在投标活动中提供任何虚假材料，其投标无效，并报监管部门查处；中标后发现的，如尚未签订合同，投标人还须对招标人的损失进行赔偿，如双方已经签订合同，则招标人有权单方解除该合同，同时投标人应按合同总金额30%承担违约金，且民事赔偿并不免除违法投标人的行政与刑事责任。</w:t>
      </w:r>
    </w:p>
    <w:p w14:paraId="076DA107">
      <w:pPr>
        <w:pStyle w:val="163"/>
        <w:pageBreakBefore w:val="0"/>
        <w:widowControl w:val="0"/>
        <w:kinsoku/>
        <w:wordWrap/>
        <w:overflowPunct/>
        <w:topLinePunct w:val="0"/>
        <w:bidi w:val="0"/>
        <w:snapToGrid/>
        <w:spacing w:before="0" w:after="0" w:line="460" w:lineRule="exact"/>
        <w:ind w:firstLine="422" w:firstLineChars="200"/>
        <w:jc w:val="left"/>
        <w:textAlignment w:val="auto"/>
        <w:rPr>
          <w:rFonts w:ascii="Times New Roman" w:hAnsi="Times New Roman" w:cs="Times New Roman"/>
          <w:color w:val="000000" w:themeColor="text1"/>
          <w:sz w:val="21"/>
          <w:szCs w:val="21"/>
          <w14:textFill>
            <w14:solidFill>
              <w14:schemeClr w14:val="tx1"/>
            </w14:solidFill>
          </w14:textFill>
        </w:rPr>
      </w:pPr>
      <w:bookmarkStart w:id="116" w:name="_Toc508216891"/>
      <w:bookmarkStart w:id="117" w:name="_Toc387526191"/>
      <w:bookmarkStart w:id="118" w:name="_Toc397928561"/>
      <w:bookmarkStart w:id="119" w:name="_Toc387526387"/>
      <w:bookmarkStart w:id="120" w:name="_Toc369077562"/>
      <w:bookmarkStart w:id="121" w:name="_Toc30422"/>
      <w:bookmarkStart w:id="122" w:name="_Toc368759376"/>
      <w:bookmarkStart w:id="123" w:name="_Toc368760428"/>
      <w:bookmarkStart w:id="124" w:name="_Toc387526295"/>
      <w:r>
        <w:rPr>
          <w:rFonts w:ascii="Times New Roman" w:hAnsi="Times New Roman" w:cs="Times New Roman"/>
          <w:color w:val="000000" w:themeColor="text1"/>
          <w:sz w:val="21"/>
          <w:szCs w:val="21"/>
          <w14:textFill>
            <w14:solidFill>
              <w14:schemeClr w14:val="tx1"/>
            </w14:solidFill>
          </w14:textFill>
        </w:rPr>
        <w:t>2.招标文件</w:t>
      </w:r>
      <w:bookmarkEnd w:id="114"/>
      <w:bookmarkEnd w:id="115"/>
      <w:bookmarkEnd w:id="116"/>
      <w:bookmarkEnd w:id="117"/>
      <w:bookmarkEnd w:id="118"/>
      <w:bookmarkEnd w:id="119"/>
      <w:bookmarkEnd w:id="120"/>
      <w:bookmarkEnd w:id="121"/>
      <w:bookmarkEnd w:id="122"/>
      <w:bookmarkEnd w:id="123"/>
      <w:bookmarkEnd w:id="124"/>
    </w:p>
    <w:p w14:paraId="13C72F29">
      <w:pPr>
        <w:pStyle w:val="5"/>
        <w:pageBreakBefore w:val="0"/>
        <w:widowControl w:val="0"/>
        <w:kinsoku/>
        <w:wordWrap/>
        <w:overflowPunct/>
        <w:topLinePunct w:val="0"/>
        <w:bidi w:val="0"/>
        <w:snapToGrid/>
        <w:spacing w:before="0" w:after="0" w:line="460" w:lineRule="exact"/>
        <w:ind w:firstLine="420" w:firstLineChars="200"/>
        <w:jc w:val="left"/>
        <w:textAlignment w:val="auto"/>
        <w:rPr>
          <w:rFonts w:hAnsi="Times New Roman" w:eastAsia="宋体"/>
          <w:color w:val="000000" w:themeColor="text1"/>
          <w:sz w:val="21"/>
          <w:szCs w:val="21"/>
          <w14:textFill>
            <w14:solidFill>
              <w14:schemeClr w14:val="tx1"/>
            </w14:solidFill>
          </w14:textFill>
        </w:rPr>
      </w:pPr>
      <w:bookmarkStart w:id="125" w:name="_Toc397928562"/>
      <w:bookmarkStart w:id="126" w:name="_Toc23070"/>
      <w:bookmarkStart w:id="127" w:name="_Toc508216892"/>
      <w:bookmarkStart w:id="128" w:name="_Toc387526388"/>
      <w:bookmarkStart w:id="129" w:name="_Toc387526192"/>
      <w:bookmarkStart w:id="130" w:name="_Toc387526296"/>
      <w:r>
        <w:rPr>
          <w:rFonts w:hAnsi="Times New Roman" w:eastAsia="宋体"/>
          <w:color w:val="000000" w:themeColor="text1"/>
          <w:sz w:val="21"/>
          <w:szCs w:val="21"/>
          <w14:textFill>
            <w14:solidFill>
              <w14:schemeClr w14:val="tx1"/>
            </w14:solidFill>
          </w14:textFill>
        </w:rPr>
        <w:t>2.1 招标文件组成</w:t>
      </w:r>
      <w:bookmarkEnd w:id="125"/>
      <w:bookmarkEnd w:id="126"/>
      <w:bookmarkEnd w:id="127"/>
      <w:bookmarkEnd w:id="128"/>
      <w:bookmarkEnd w:id="129"/>
      <w:bookmarkEnd w:id="130"/>
    </w:p>
    <w:p w14:paraId="5B68F26A">
      <w:pPr>
        <w:pageBreakBefore w:val="0"/>
        <w:widowControl w:val="0"/>
        <w:shd w:val="clear" w:color="auto" w:fill="FFFFFF"/>
        <w:kinsoku/>
        <w:wordWrap/>
        <w:overflowPunct/>
        <w:topLinePunct w:val="0"/>
        <w:autoSpaceDE w:val="0"/>
        <w:autoSpaceDN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2.1.1 本招标文件包括：</w:t>
      </w:r>
    </w:p>
    <w:p w14:paraId="6428A106">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（1）招标公告；</w:t>
      </w:r>
    </w:p>
    <w:p w14:paraId="05B65F31">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（2）投标人须知；</w:t>
      </w:r>
    </w:p>
    <w:p w14:paraId="406E7F84">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（3）评标办法；</w:t>
      </w:r>
    </w:p>
    <w:p w14:paraId="6A1EC4F1">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（4）合同条款及格式；</w:t>
      </w:r>
    </w:p>
    <w:p w14:paraId="39763129">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（5）采购需求；</w:t>
      </w:r>
    </w:p>
    <w:p w14:paraId="0648C30C">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（6）投标文件格式；</w:t>
      </w:r>
    </w:p>
    <w:p w14:paraId="306F4BF9">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（7）投标人须知前附表规定的其他材料。</w:t>
      </w:r>
    </w:p>
    <w:p w14:paraId="38C2542B">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2.1.2根据本章第1.10款、第2.2款和第2.3款对招标文件所作的澄清、修改，构成招标文件的组成部分。当招标文件相互之间发生矛盾时，以后发出的文件为准。</w:t>
      </w:r>
    </w:p>
    <w:p w14:paraId="1223BEC1">
      <w:pPr>
        <w:pStyle w:val="5"/>
        <w:pageBreakBefore w:val="0"/>
        <w:widowControl w:val="0"/>
        <w:kinsoku/>
        <w:wordWrap/>
        <w:overflowPunct/>
        <w:topLinePunct w:val="0"/>
        <w:bidi w:val="0"/>
        <w:snapToGrid/>
        <w:spacing w:before="0" w:after="0" w:line="460" w:lineRule="exact"/>
        <w:ind w:firstLine="420" w:firstLineChars="200"/>
        <w:jc w:val="left"/>
        <w:textAlignment w:val="auto"/>
        <w:rPr>
          <w:rFonts w:hAnsi="Times New Roman" w:eastAsia="宋体"/>
          <w:color w:val="000000" w:themeColor="text1"/>
          <w:sz w:val="21"/>
          <w:szCs w:val="21"/>
          <w14:textFill>
            <w14:solidFill>
              <w14:schemeClr w14:val="tx1"/>
            </w14:solidFill>
          </w14:textFill>
        </w:rPr>
      </w:pPr>
      <w:bookmarkStart w:id="131" w:name="_Toc366679676"/>
      <w:bookmarkStart w:id="132" w:name="_Toc387526297"/>
      <w:bookmarkStart w:id="133" w:name="_Toc152045544"/>
      <w:bookmarkStart w:id="134" w:name="_Toc246996189"/>
      <w:bookmarkStart w:id="135" w:name="_Toc397928563"/>
      <w:bookmarkStart w:id="136" w:name="_Toc9593"/>
      <w:bookmarkStart w:id="137" w:name="_Toc152042320"/>
      <w:bookmarkStart w:id="138" w:name="_Toc144974512"/>
      <w:bookmarkStart w:id="139" w:name="_Toc179632562"/>
      <w:bookmarkStart w:id="140" w:name="_Toc387526193"/>
      <w:bookmarkStart w:id="141" w:name="_Toc508216893"/>
      <w:bookmarkStart w:id="142" w:name="_Toc247085703"/>
      <w:bookmarkStart w:id="143" w:name="_Toc387526389"/>
      <w:bookmarkStart w:id="144" w:name="_Toc246996932"/>
      <w:r>
        <w:rPr>
          <w:rFonts w:hAnsi="Times New Roman" w:eastAsia="宋体"/>
          <w:color w:val="000000" w:themeColor="text1"/>
          <w:sz w:val="21"/>
          <w:szCs w:val="21"/>
          <w14:textFill>
            <w14:solidFill>
              <w14:schemeClr w14:val="tx1"/>
            </w14:solidFill>
          </w14:textFill>
        </w:rPr>
        <w:t>2.2 招标文件的澄清</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0059B062">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bookmarkStart w:id="145" w:name="_Toc366679677"/>
      <w:bookmarkStart w:id="146" w:name="_Toc19263"/>
      <w:bookmarkStart w:id="147" w:name="_Toc387526390"/>
      <w:bookmarkStart w:id="148" w:name="_Toc387526298"/>
      <w:bookmarkStart w:id="149" w:name="_Toc246996933"/>
      <w:bookmarkStart w:id="150" w:name="_Toc247085704"/>
      <w:bookmarkStart w:id="151" w:name="_Toc397928564"/>
      <w:bookmarkStart w:id="152" w:name="_Toc246996190"/>
      <w:bookmarkStart w:id="153" w:name="_Toc387526194"/>
      <w:bookmarkStart w:id="154" w:name="_Toc179632563"/>
      <w:r>
        <w:rPr>
          <w:color w:val="000000" w:themeColor="text1"/>
          <w:szCs w:val="21"/>
          <w14:textFill>
            <w14:solidFill>
              <w14:schemeClr w14:val="tx1"/>
            </w14:solidFill>
          </w14:textFill>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招标人应当在3日内对供应商依法提出的询问作出答复。</w:t>
      </w:r>
    </w:p>
    <w:p w14:paraId="0BD050E8">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2.2.2 招标文件的澄清将在投标人须知前附表规定的投标截止时间前以“补充答疑”的形式在大丰公共资源电子交易平台（http://ggzy.dafeng.gov.cn/dfweb/default.aspx）上公开发布，但不指明澄清问题的来源。如果澄清发出的时间距投标截止时间不足15天，且澄清内容影响投标文件编制的，相应延长投标截止时间。</w:t>
      </w:r>
    </w:p>
    <w:p w14:paraId="51BC9BB0">
      <w:pPr>
        <w:pStyle w:val="5"/>
        <w:pageBreakBefore w:val="0"/>
        <w:widowControl w:val="0"/>
        <w:kinsoku/>
        <w:wordWrap/>
        <w:overflowPunct/>
        <w:topLinePunct w:val="0"/>
        <w:bidi w:val="0"/>
        <w:snapToGrid/>
        <w:spacing w:before="0" w:after="0" w:line="460" w:lineRule="exact"/>
        <w:ind w:firstLine="420" w:firstLineChars="200"/>
        <w:jc w:val="left"/>
        <w:textAlignment w:val="auto"/>
        <w:rPr>
          <w:rFonts w:hAnsi="Times New Roman" w:eastAsia="宋体"/>
          <w:color w:val="000000" w:themeColor="text1"/>
          <w:sz w:val="21"/>
          <w:szCs w:val="21"/>
          <w14:textFill>
            <w14:solidFill>
              <w14:schemeClr w14:val="tx1"/>
            </w14:solidFill>
          </w14:textFill>
        </w:rPr>
      </w:pPr>
      <w:bookmarkStart w:id="155" w:name="_Toc508216894"/>
      <w:r>
        <w:rPr>
          <w:rFonts w:hAnsi="Times New Roman" w:eastAsia="宋体"/>
          <w:color w:val="000000" w:themeColor="text1"/>
          <w:sz w:val="21"/>
          <w:szCs w:val="21"/>
          <w14:textFill>
            <w14:solidFill>
              <w14:schemeClr w14:val="tx1"/>
            </w14:solidFill>
          </w14:textFill>
        </w:rPr>
        <w:t>2.3 招标文件的修改</w:t>
      </w:r>
      <w:bookmarkEnd w:id="145"/>
      <w:bookmarkEnd w:id="146"/>
      <w:bookmarkEnd w:id="147"/>
      <w:bookmarkEnd w:id="148"/>
      <w:bookmarkEnd w:id="149"/>
      <w:bookmarkEnd w:id="150"/>
      <w:bookmarkEnd w:id="151"/>
      <w:bookmarkEnd w:id="152"/>
      <w:bookmarkEnd w:id="153"/>
      <w:bookmarkEnd w:id="154"/>
      <w:bookmarkEnd w:id="155"/>
    </w:p>
    <w:p w14:paraId="4BAD9B20">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bookmarkStart w:id="156" w:name="_Toc368759377"/>
      <w:bookmarkStart w:id="157" w:name="_Toc19481"/>
      <w:bookmarkStart w:id="158" w:name="_Toc397928565"/>
      <w:bookmarkStart w:id="159" w:name="_Toc387526195"/>
      <w:bookmarkStart w:id="160" w:name="_Toc368760429"/>
      <w:bookmarkStart w:id="161" w:name="_Toc367894800"/>
      <w:bookmarkStart w:id="162" w:name="_Toc363329372"/>
      <w:bookmarkStart w:id="163" w:name="_Toc369077563"/>
      <w:bookmarkStart w:id="164" w:name="_Toc387526391"/>
      <w:bookmarkStart w:id="165" w:name="_Toc387526299"/>
      <w:bookmarkStart w:id="166" w:name="_Toc119718089"/>
      <w:r>
        <w:rPr>
          <w:color w:val="000000" w:themeColor="text1"/>
          <w:szCs w:val="21"/>
          <w14:textFill>
            <w14:solidFill>
              <w14:schemeClr w14:val="tx1"/>
            </w14:solidFill>
          </w14:textFill>
        </w:rPr>
        <w:t>2.3.1 在投标截止时间前，招标人可以以“补充答疑”的形式在大丰公共资源电子交易平台（http://ggzy.dafeng.gov.cn/dfweb/default.aspx）上修改招标文件。如果修改招标文件的时间距投标截止时间不足15天，且修改内容影响投标文件编制的，相应延长投标截止时间。</w:t>
      </w:r>
    </w:p>
    <w:p w14:paraId="5E24F044">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2.4 投标人提出异议截止时间</w:t>
      </w:r>
    </w:p>
    <w:p w14:paraId="4A225225">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2.4.1 潜在投标人对招标文件有异议的，可以在</w:t>
      </w:r>
      <w:r>
        <w:rPr>
          <w:rFonts w:hint="eastAsia"/>
          <w:color w:val="000000" w:themeColor="text1"/>
          <w:szCs w:val="21"/>
          <w14:textFill>
            <w14:solidFill>
              <w14:schemeClr w14:val="tx1"/>
            </w14:solidFill>
          </w14:textFill>
        </w:rPr>
        <w:t>投标截止时间前1</w:t>
      </w:r>
      <w:r>
        <w:rPr>
          <w:color w:val="000000" w:themeColor="text1"/>
          <w:szCs w:val="21"/>
          <w14:textFill>
            <w14:solidFill>
              <w14:schemeClr w14:val="tx1"/>
            </w14:solidFill>
          </w14:textFill>
        </w:rPr>
        <w:t>0日内，以书面形式向采购人提出</w:t>
      </w:r>
      <w:r>
        <w:rPr>
          <w:rFonts w:hint="eastAsia"/>
          <w:color w:val="000000" w:themeColor="text1"/>
          <w:szCs w:val="21"/>
          <w14:textFill>
            <w14:solidFill>
              <w14:schemeClr w14:val="tx1"/>
            </w14:solidFill>
          </w14:textFill>
        </w:rPr>
        <w:t>异议</w:t>
      </w:r>
      <w:r>
        <w:rPr>
          <w:color w:val="000000" w:themeColor="text1"/>
          <w:szCs w:val="21"/>
          <w14:textFill>
            <w14:solidFill>
              <w14:schemeClr w14:val="tx1"/>
            </w14:solidFill>
          </w14:textFill>
        </w:rPr>
        <w:t>。</w:t>
      </w:r>
    </w:p>
    <w:p w14:paraId="21B62F6F">
      <w:pPr>
        <w:pStyle w:val="163"/>
        <w:pageBreakBefore w:val="0"/>
        <w:widowControl w:val="0"/>
        <w:kinsoku/>
        <w:wordWrap/>
        <w:overflowPunct/>
        <w:topLinePunct w:val="0"/>
        <w:bidi w:val="0"/>
        <w:snapToGrid/>
        <w:spacing w:before="0" w:after="0" w:line="460" w:lineRule="exact"/>
        <w:ind w:firstLine="422" w:firstLineChars="200"/>
        <w:jc w:val="left"/>
        <w:textAlignment w:val="auto"/>
        <w:rPr>
          <w:rFonts w:ascii="Times New Roman" w:hAnsi="Times New Roman" w:cs="Times New Roman"/>
          <w:color w:val="000000" w:themeColor="text1"/>
          <w:sz w:val="21"/>
          <w:szCs w:val="21"/>
          <w14:textFill>
            <w14:solidFill>
              <w14:schemeClr w14:val="tx1"/>
            </w14:solidFill>
          </w14:textFill>
        </w:rPr>
      </w:pPr>
      <w:bookmarkStart w:id="167" w:name="_Toc508216895"/>
      <w:r>
        <w:rPr>
          <w:rFonts w:ascii="Times New Roman" w:hAnsi="Times New Roman" w:cs="Times New Roman"/>
          <w:color w:val="000000" w:themeColor="text1"/>
          <w:sz w:val="21"/>
          <w:szCs w:val="21"/>
          <w14:textFill>
            <w14:solidFill>
              <w14:schemeClr w14:val="tx1"/>
            </w14:solidFill>
          </w14:textFill>
        </w:rPr>
        <w:t>3.投标文件</w:t>
      </w:r>
      <w:bookmarkEnd w:id="156"/>
      <w:bookmarkEnd w:id="157"/>
      <w:bookmarkEnd w:id="158"/>
      <w:bookmarkEnd w:id="159"/>
      <w:bookmarkEnd w:id="160"/>
      <w:bookmarkEnd w:id="161"/>
      <w:bookmarkEnd w:id="162"/>
      <w:bookmarkEnd w:id="163"/>
      <w:bookmarkEnd w:id="164"/>
      <w:bookmarkEnd w:id="165"/>
      <w:bookmarkEnd w:id="167"/>
    </w:p>
    <w:p w14:paraId="65466E91">
      <w:pPr>
        <w:pStyle w:val="5"/>
        <w:pageBreakBefore w:val="0"/>
        <w:widowControl w:val="0"/>
        <w:kinsoku/>
        <w:wordWrap/>
        <w:overflowPunct/>
        <w:topLinePunct w:val="0"/>
        <w:bidi w:val="0"/>
        <w:snapToGrid/>
        <w:spacing w:before="0" w:after="0" w:line="460" w:lineRule="exact"/>
        <w:ind w:firstLine="420" w:firstLineChars="200"/>
        <w:jc w:val="left"/>
        <w:textAlignment w:val="auto"/>
        <w:rPr>
          <w:rFonts w:hAnsi="Times New Roman" w:eastAsia="宋体"/>
          <w:color w:val="000000" w:themeColor="text1"/>
          <w:sz w:val="21"/>
          <w:szCs w:val="21"/>
          <w14:textFill>
            <w14:solidFill>
              <w14:schemeClr w14:val="tx1"/>
            </w14:solidFill>
          </w14:textFill>
        </w:rPr>
      </w:pPr>
      <w:bookmarkStart w:id="168" w:name="_Toc508216896"/>
      <w:bookmarkStart w:id="169" w:name="_Toc5625"/>
      <w:bookmarkStart w:id="170" w:name="_Toc387526300"/>
      <w:bookmarkStart w:id="171" w:name="_Toc387526196"/>
      <w:bookmarkStart w:id="172" w:name="_Toc397928566"/>
      <w:bookmarkStart w:id="173" w:name="_Toc387526392"/>
      <w:r>
        <w:rPr>
          <w:rFonts w:hAnsi="Times New Roman" w:eastAsia="宋体"/>
          <w:color w:val="000000" w:themeColor="text1"/>
          <w:sz w:val="21"/>
          <w:szCs w:val="21"/>
          <w14:textFill>
            <w14:solidFill>
              <w14:schemeClr w14:val="tx1"/>
            </w14:solidFill>
          </w14:textFill>
        </w:rPr>
        <w:t>3.1 投标文件</w:t>
      </w:r>
      <w:bookmarkEnd w:id="166"/>
      <w:r>
        <w:rPr>
          <w:rFonts w:hAnsi="Times New Roman" w:eastAsia="宋体"/>
          <w:color w:val="000000" w:themeColor="text1"/>
          <w:sz w:val="21"/>
          <w:szCs w:val="21"/>
          <w14:textFill>
            <w14:solidFill>
              <w14:schemeClr w14:val="tx1"/>
            </w14:solidFill>
          </w14:textFill>
        </w:rPr>
        <w:t>的组成</w:t>
      </w:r>
      <w:bookmarkEnd w:id="168"/>
      <w:bookmarkEnd w:id="169"/>
      <w:bookmarkEnd w:id="170"/>
      <w:bookmarkEnd w:id="171"/>
      <w:bookmarkEnd w:id="172"/>
      <w:bookmarkEnd w:id="173"/>
    </w:p>
    <w:p w14:paraId="5A0CA82F">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3.1.1 投标文件组成见“投标人须知前附表”；</w:t>
      </w:r>
    </w:p>
    <w:p w14:paraId="329D086A">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3.1.2 招标文件“第六章 投标文件格式”有规定格式要求的，投标人应按规定的格式填写并按要求提交相关的证明材料。</w:t>
      </w:r>
    </w:p>
    <w:p w14:paraId="4D588F37">
      <w:pPr>
        <w:pStyle w:val="5"/>
        <w:pageBreakBefore w:val="0"/>
        <w:widowControl w:val="0"/>
        <w:kinsoku/>
        <w:wordWrap/>
        <w:overflowPunct/>
        <w:topLinePunct w:val="0"/>
        <w:bidi w:val="0"/>
        <w:snapToGrid/>
        <w:spacing w:before="0" w:after="0" w:line="460" w:lineRule="exact"/>
        <w:ind w:firstLine="420" w:firstLineChars="200"/>
        <w:jc w:val="left"/>
        <w:textAlignment w:val="auto"/>
        <w:rPr>
          <w:rFonts w:hAnsi="Times New Roman" w:eastAsia="宋体"/>
          <w:color w:val="000000" w:themeColor="text1"/>
          <w:sz w:val="21"/>
          <w:szCs w:val="21"/>
          <w14:textFill>
            <w14:solidFill>
              <w14:schemeClr w14:val="tx1"/>
            </w14:solidFill>
          </w14:textFill>
        </w:rPr>
      </w:pPr>
      <w:bookmarkStart w:id="174" w:name="_Toc387526301"/>
      <w:bookmarkStart w:id="175" w:name="_Toc10820"/>
      <w:bookmarkStart w:id="176" w:name="_Toc397928567"/>
      <w:bookmarkStart w:id="177" w:name="_Toc387526197"/>
      <w:bookmarkStart w:id="178" w:name="_Toc508216897"/>
      <w:bookmarkStart w:id="179" w:name="_Toc387526393"/>
      <w:r>
        <w:rPr>
          <w:rFonts w:hAnsi="Times New Roman" w:eastAsia="宋体"/>
          <w:color w:val="000000" w:themeColor="text1"/>
          <w:sz w:val="21"/>
          <w:szCs w:val="21"/>
          <w14:textFill>
            <w14:solidFill>
              <w14:schemeClr w14:val="tx1"/>
            </w14:solidFill>
          </w14:textFill>
        </w:rPr>
        <w:t>3.2 投标报价</w:t>
      </w:r>
      <w:bookmarkEnd w:id="174"/>
      <w:bookmarkEnd w:id="175"/>
      <w:bookmarkEnd w:id="176"/>
      <w:bookmarkEnd w:id="177"/>
      <w:bookmarkEnd w:id="178"/>
      <w:bookmarkEnd w:id="179"/>
    </w:p>
    <w:p w14:paraId="597B2079">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3.2.1</w:t>
      </w:r>
      <w:r>
        <w:rPr>
          <w:rFonts w:hint="eastAsia"/>
          <w:color w:val="000000" w:themeColor="text1"/>
          <w:szCs w:val="21"/>
          <w14:textFill>
            <w14:solidFill>
              <w14:schemeClr w14:val="tx1"/>
            </w14:solidFill>
          </w14:textFill>
        </w:rPr>
        <w:t>投标报价应包括完成本项目实施期间所必须的全部货物和服务的价格、标准附件、备品备件、专用工具、软件（含设计、开发等）及模块、</w:t>
      </w:r>
      <w:r>
        <w:rPr>
          <w:rFonts w:hint="eastAsia" w:ascii="宋体" w:hAnsi="宋体" w:cs="宋体"/>
          <w:color w:val="000000" w:themeColor="text1"/>
          <w:szCs w:val="21"/>
          <w14:textFill>
            <w14:solidFill>
              <w14:schemeClr w14:val="tx1"/>
            </w14:solidFill>
          </w14:textFill>
        </w:rPr>
        <w:t>安全生产费及相关费用</w:t>
      </w:r>
      <w:r>
        <w:rPr>
          <w:rFonts w:hint="eastAsia"/>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人员工资、加班费、</w:t>
      </w:r>
      <w:r>
        <w:rPr>
          <w:rFonts w:hint="eastAsia"/>
          <w:color w:val="000000" w:themeColor="text1"/>
          <w:szCs w:val="21"/>
          <w:highlight w:val="white"/>
          <w14:textFill>
            <w14:solidFill>
              <w14:schemeClr w14:val="tx1"/>
            </w14:solidFill>
          </w14:textFill>
        </w:rPr>
        <w:t>工作人员差旅费</w:t>
      </w:r>
      <w:r>
        <w:rPr>
          <w:rFonts w:hint="eastAsia"/>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各项福利、劳动保险、餐费、员工补助、工作人员必要的住宿费、办公费、</w:t>
      </w:r>
      <w:r>
        <w:rPr>
          <w:rFonts w:hint="eastAsia"/>
          <w:color w:val="000000" w:themeColor="text1"/>
          <w:szCs w:val="21"/>
          <w14:textFill>
            <w14:solidFill>
              <w14:schemeClr w14:val="tx1"/>
            </w14:solidFill>
          </w14:textFill>
        </w:rPr>
        <w:t>采购及安装、材料二次搬运、调试、平台系统的集成对接、检测费（含现场抽检费用及抽检不合格的更换至合格为止的所有费用）、保修、保险、试运行直至验收合格、培训、售后服务以及投标人为完成本招标项目所必须的费用、企业管理费、利润、税收（含关税）、风险费、垃圾清运、环境保护、特殊条件施工增加费用、现场施工围栏、成品保护、开办费、辅助材料费、工程完工后临时设施的拆除与清理及现场恢复费用、</w:t>
      </w:r>
      <w:r>
        <w:rPr>
          <w:rFonts w:hint="eastAsia" w:ascii="宋体" w:hAnsi="宋体" w:cs="宋体"/>
          <w:color w:val="000000" w:themeColor="text1"/>
          <w:szCs w:val="21"/>
          <w14:textFill>
            <w14:solidFill>
              <w14:schemeClr w14:val="tx1"/>
            </w14:solidFill>
          </w14:textFill>
        </w:rPr>
        <w:t>运营期间与社区、街道、城管、物管、供电（接电等本项目涉及的内容）、供水、电信等相关部门的协调工作所涉及的相关的全部费用、</w:t>
      </w:r>
      <w:r>
        <w:rPr>
          <w:rFonts w:hint="eastAsia"/>
          <w:color w:val="000000" w:themeColor="text1"/>
          <w:szCs w:val="21"/>
          <w14:textFill>
            <w14:solidFill>
              <w14:schemeClr w14:val="tx1"/>
            </w14:solidFill>
          </w14:textFill>
        </w:rPr>
        <w:t>本招标文件规定的为完成项目验收所需的企业检验试验费用、资金成本、不可预见费（应充分考虑所有风险、责任等）及政策性文件规定等为完成本项目交付采购人使用所需的全部费用的价格体现。投标所报单价为最终结算单价，因特殊原因并经买卖双方协商同意，投标人不得再要求追加任何费用。同时，除非合同条款中另有规定，否则，投标单位所报单价在合同实施期间不因市场变化因素而变动。</w:t>
      </w:r>
    </w:p>
    <w:p w14:paraId="6399A695">
      <w:pPr>
        <w:pageBreakBefore w:val="0"/>
        <w:widowControl w:val="0"/>
        <w:kinsoku/>
        <w:wordWrap/>
        <w:overflowPunct/>
        <w:topLinePunct w:val="0"/>
        <w:bidi w:val="0"/>
        <w:snapToGrid/>
        <w:spacing w:line="460" w:lineRule="exact"/>
        <w:ind w:firstLine="422" w:firstLineChars="200"/>
        <w:textAlignment w:val="auto"/>
        <w:rPr>
          <w:rFonts w:ascii="宋体" w:hAnsi="宋体" w:cs="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本项目涉及的运营管理平台的软硬件均由乙方提供，</w:t>
      </w:r>
      <w:r>
        <w:rPr>
          <w:rFonts w:hint="eastAsia" w:ascii="宋体" w:hAnsi="宋体"/>
          <w:b/>
          <w:color w:val="000000" w:themeColor="text1"/>
          <w:szCs w:val="21"/>
          <w:lang w:val="en-US" w:eastAsia="zh-CN"/>
          <w14:textFill>
            <w14:solidFill>
              <w14:schemeClr w14:val="tx1"/>
            </w14:solidFill>
          </w14:textFill>
        </w:rPr>
        <w:t>运维期内</w:t>
      </w:r>
      <w:r>
        <w:rPr>
          <w:rFonts w:hint="eastAsia" w:ascii="宋体" w:hAnsi="宋体"/>
          <w:b/>
          <w:color w:val="000000" w:themeColor="text1"/>
          <w:szCs w:val="21"/>
          <w14:textFill>
            <w14:solidFill>
              <w14:schemeClr w14:val="tx1"/>
            </w14:solidFill>
          </w14:textFill>
        </w:rPr>
        <w:t>日常运营和维护均由乙方负责，在保修期内，乙方不得收取任何费用，免费保修期满后，乙方对用户货物的维修只收成本费，并提供终生技术服务。</w:t>
      </w:r>
    </w:p>
    <w:p w14:paraId="1898A029">
      <w:pPr>
        <w:pageBreakBefore w:val="0"/>
        <w:widowControl w:val="0"/>
        <w:kinsoku/>
        <w:wordWrap/>
        <w:overflowPunct/>
        <w:topLinePunct w:val="0"/>
        <w:bidi w:val="0"/>
        <w:snapToGrid/>
        <w:spacing w:line="460" w:lineRule="exact"/>
        <w:ind w:firstLine="420" w:firstLineChars="200"/>
        <w:textAlignment w:val="auto"/>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投标人应充分考虑为完成上述内容所必须临时设施【施工现场水、电、路（便道）以及作业面、施工材料</w:t>
      </w:r>
      <w:r>
        <w:rPr>
          <w:rFonts w:hint="eastAsia"/>
          <w:color w:val="000000" w:themeColor="text1"/>
          <w:szCs w:val="21"/>
          <w14:textFill>
            <w14:solidFill>
              <w14:schemeClr w14:val="tx1"/>
            </w14:solidFill>
          </w14:textFill>
        </w:rPr>
        <w:t>（成品、半成品）堆放场地、各种操作作业平台等</w:t>
      </w:r>
      <w:r>
        <w:rPr>
          <w:rFonts w:hint="eastAsia"/>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设备材料费、供销手续费、包装费、运输及其保险费（招标人要求送货至施工现场指定地点，含上下力资费）、试验费、检测费（含现场抽检费用及抽检不合格的更换至合格为止的所有费用</w:t>
      </w:r>
      <w:r>
        <w:rPr>
          <w:rFonts w:hint="eastAsia"/>
          <w:color w:val="000000" w:themeColor="text1"/>
          <w:szCs w:val="21"/>
          <w14:textFill>
            <w14:solidFill>
              <w14:schemeClr w14:val="tx1"/>
            </w14:solidFill>
          </w14:textFill>
        </w:rPr>
        <w:t>）、软件及硬件设备正常运行费、调试（包括与其它系统的配合、整合调试）、联合试运转、环境保护、特殊条件施工增加费用、人工、材料、机械</w:t>
      </w:r>
      <w:r>
        <w:rPr>
          <w:rFonts w:hint="eastAsia"/>
          <w:color w:val="000000" w:themeColor="text1"/>
          <w14:textFill>
            <w14:solidFill>
              <w14:schemeClr w14:val="tx1"/>
            </w14:solidFill>
          </w14:textFill>
        </w:rPr>
        <w:t>、管理、缺陷修补、利润、税金、现场施工围栏、竣工面的清理、垃圾清运、成品保护、开办费、为完成本项目的各类机械进退场费以及设备停置费（除不可抗力事件发生外，招标人不对设备停置费给予任何补偿）、技术措施费、</w:t>
      </w:r>
      <w:r>
        <w:rPr>
          <w:rFonts w:hint="eastAsia"/>
          <w:color w:val="000000" w:themeColor="text1"/>
          <w:szCs w:val="21"/>
          <w14:textFill>
            <w14:solidFill>
              <w14:schemeClr w14:val="tx1"/>
            </w14:solidFill>
          </w14:textFill>
        </w:rPr>
        <w:t>工程完工后临时设施的拆除与清理及现场恢复费用、</w:t>
      </w:r>
      <w:r>
        <w:rPr>
          <w:rFonts w:hint="eastAsia"/>
          <w:color w:val="000000" w:themeColor="text1"/>
          <w14:textFill>
            <w14:solidFill>
              <w14:schemeClr w14:val="tx1"/>
            </w14:solidFill>
          </w14:textFill>
        </w:rPr>
        <w:t>为完成竣工验收所需的一切检验试验费用、配合费用、风险费、以及各种管线、建筑物、构筑物的加固围护、责任及政策性文件规定以及本项目主要合同条款规定的全部费用的价格体现</w:t>
      </w:r>
      <w:r>
        <w:rPr>
          <w:rFonts w:ascii="宋体" w:hAnsi="宋体" w:cs="宋体"/>
          <w:color w:val="000000" w:themeColor="text1"/>
          <w:szCs w:val="21"/>
          <w14:textFill>
            <w14:solidFill>
              <w14:schemeClr w14:val="tx1"/>
            </w14:solidFill>
          </w14:textFill>
        </w:rPr>
        <w:t>。</w:t>
      </w:r>
    </w:p>
    <w:p w14:paraId="1BD3F68B">
      <w:pPr>
        <w:pageBreakBefore w:val="0"/>
        <w:widowControl w:val="0"/>
        <w:kinsoku/>
        <w:wordWrap/>
        <w:overflowPunct/>
        <w:topLinePunct w:val="0"/>
        <w:bidi w:val="0"/>
        <w:snapToGrid/>
        <w:spacing w:line="460" w:lineRule="exact"/>
        <w:ind w:firstLine="420" w:firstLineChars="200"/>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投标人所报价格包含为保证本项目的正常运行所必须的货物、配件等，未列入的清单或技术参数（若有缺失项）投标人须自行补充完整，招标人认为参加本项目投标的潜在供应商应是具有足够经验、供货能力的供应商，采购文件提供的清单、技术要求仅是对采购货物的不完整描述，招标人在验收时要求成交供应商所供设备、软件等具有完整性与成套性，采购文件中所提及技术参数投标人所供货物必须满足或优于。投标人因自身原因考虑不周并不影响合同的履行及最终质量的验收，招标人不因投标人投标时考虑不周而额外补偿任何费用。</w:t>
      </w:r>
    </w:p>
    <w:p w14:paraId="2DA5EBE5">
      <w:pPr>
        <w:pageBreakBefore w:val="0"/>
        <w:widowControl w:val="0"/>
        <w:kinsoku/>
        <w:wordWrap/>
        <w:overflowPunct/>
        <w:topLinePunct w:val="0"/>
        <w:bidi w:val="0"/>
        <w:snapToGrid/>
        <w:spacing w:line="460" w:lineRule="exact"/>
        <w:ind w:firstLine="420" w:firstLineChars="200"/>
        <w:textAlignment w:val="auto"/>
        <w:rPr>
          <w:color w:val="000000" w:themeColor="text1"/>
          <w:szCs w:val="21"/>
          <w14:textFill>
            <w14:solidFill>
              <w14:schemeClr w14:val="tx1"/>
            </w14:solidFill>
          </w14:textFill>
        </w:rPr>
      </w:pPr>
      <w:bookmarkStart w:id="180" w:name="_Toc397928568"/>
      <w:bookmarkStart w:id="181" w:name="_Toc21008"/>
      <w:bookmarkStart w:id="182" w:name="_Toc387526198"/>
      <w:bookmarkStart w:id="183" w:name="_Toc508216898"/>
      <w:bookmarkStart w:id="184" w:name="_Toc387526394"/>
      <w:bookmarkStart w:id="185" w:name="_Toc387526302"/>
      <w:r>
        <w:rPr>
          <w:color w:val="000000" w:themeColor="text1"/>
          <w:szCs w:val="21"/>
          <w14:textFill>
            <w14:solidFill>
              <w14:schemeClr w14:val="tx1"/>
            </w14:solidFill>
          </w14:textFill>
        </w:rPr>
        <w:t>3.2.2</w:t>
      </w:r>
      <w:r>
        <w:rPr>
          <w:rFonts w:hint="eastAsia"/>
          <w:color w:val="000000" w:themeColor="text1"/>
          <w:szCs w:val="21"/>
          <w14:textFill>
            <w14:solidFill>
              <w14:schemeClr w14:val="tx1"/>
            </w14:solidFill>
          </w14:textFill>
        </w:rPr>
        <w:t>投标人按投标人须知前附表的具体规定进行报价。</w:t>
      </w:r>
    </w:p>
    <w:p w14:paraId="515768E9">
      <w:pPr>
        <w:pageBreakBefore w:val="0"/>
        <w:widowControl w:val="0"/>
        <w:kinsoku/>
        <w:wordWrap/>
        <w:overflowPunct/>
        <w:topLinePunct w:val="0"/>
        <w:bidi w:val="0"/>
        <w:snapToGrid/>
        <w:spacing w:line="460" w:lineRule="exact"/>
        <w:ind w:firstLine="420" w:firstLineChars="200"/>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招标人在项目实施时根据需要对中标人所供不同批次的货物进行随机抽检，若发生检测不合格，则该批所供货物均按不合格处理，由此产生的各项损失由中标人承担。 </w:t>
      </w:r>
    </w:p>
    <w:p w14:paraId="21609FBE">
      <w:pPr>
        <w:pageBreakBefore w:val="0"/>
        <w:widowControl w:val="0"/>
        <w:kinsoku/>
        <w:wordWrap/>
        <w:overflowPunct/>
        <w:topLinePunct w:val="0"/>
        <w:bidi w:val="0"/>
        <w:snapToGrid/>
        <w:spacing w:line="460" w:lineRule="exact"/>
        <w:ind w:firstLine="420" w:firstLineChars="200"/>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招标人要求投标人在投标报价时将相关部门的各项检测费用计入相应的投标报价内，招标人在货款结算时不另行支付该项费用。 </w:t>
      </w:r>
    </w:p>
    <w:p w14:paraId="12DD017C">
      <w:pPr>
        <w:pageBreakBefore w:val="0"/>
        <w:widowControl w:val="0"/>
        <w:kinsoku/>
        <w:wordWrap/>
        <w:overflowPunct/>
        <w:topLinePunct w:val="0"/>
        <w:bidi w:val="0"/>
        <w:snapToGrid/>
        <w:spacing w:line="460" w:lineRule="exact"/>
        <w:ind w:firstLine="420" w:firstLineChars="200"/>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投标人应对招标文件内所要采购的全部内容进行报价，只投其中部分内容者，其标书将被拒绝。</w:t>
      </w:r>
    </w:p>
    <w:p w14:paraId="438EB422">
      <w:pPr>
        <w:pageBreakBefore w:val="0"/>
        <w:widowControl w:val="0"/>
        <w:kinsoku/>
        <w:wordWrap/>
        <w:overflowPunct/>
        <w:topLinePunct w:val="0"/>
        <w:bidi w:val="0"/>
        <w:snapToGrid/>
        <w:spacing w:line="460" w:lineRule="exact"/>
        <w:ind w:firstLine="420" w:firstLineChars="200"/>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3.2.3</w:t>
      </w:r>
      <w:r>
        <w:rPr>
          <w:color w:val="000000" w:themeColor="text1"/>
          <w:szCs w:val="21"/>
          <w14:textFill>
            <w14:solidFill>
              <w14:schemeClr w14:val="tx1"/>
            </w14:solidFill>
          </w14:textFill>
        </w:rPr>
        <w:t>招标人设有最高投标限价的，投标人的投标报价不得超过最高投标限价，最高投标限价见投标人须知前附表。</w:t>
      </w:r>
    </w:p>
    <w:p w14:paraId="54A15E22">
      <w:pPr>
        <w:pageBreakBefore w:val="0"/>
        <w:widowControl w:val="0"/>
        <w:kinsoku/>
        <w:wordWrap/>
        <w:overflowPunct/>
        <w:topLinePunct w:val="0"/>
        <w:bidi w:val="0"/>
        <w:snapToGrid/>
        <w:spacing w:line="460" w:lineRule="exact"/>
        <w:ind w:firstLine="420" w:firstLineChars="200"/>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3.2.4计价方式</w:t>
      </w:r>
    </w:p>
    <w:p w14:paraId="4DA519C3">
      <w:pPr>
        <w:pageBreakBefore w:val="0"/>
        <w:widowControl w:val="0"/>
        <w:kinsoku/>
        <w:wordWrap/>
        <w:overflowPunct/>
        <w:topLinePunct w:val="0"/>
        <w:bidi w:val="0"/>
        <w:snapToGrid/>
        <w:spacing w:line="460" w:lineRule="exact"/>
        <w:ind w:firstLine="420" w:firstLineChars="200"/>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本项目采用固定</w:t>
      </w:r>
      <w:r>
        <w:rPr>
          <w:rFonts w:hint="eastAsia"/>
          <w:color w:val="000000" w:themeColor="text1"/>
          <w:szCs w:val="21"/>
          <w:lang w:val="en-US" w:eastAsia="zh-CN"/>
          <w14:textFill>
            <w14:solidFill>
              <w14:schemeClr w14:val="tx1"/>
            </w14:solidFill>
          </w14:textFill>
        </w:rPr>
        <w:t>总</w:t>
      </w:r>
      <w:r>
        <w:rPr>
          <w:rFonts w:hint="eastAsia"/>
          <w:color w:val="000000" w:themeColor="text1"/>
          <w:szCs w:val="21"/>
          <w14:textFill>
            <w14:solidFill>
              <w14:schemeClr w14:val="tx1"/>
            </w14:solidFill>
          </w14:textFill>
        </w:rPr>
        <w:t>价报价，投标所报</w:t>
      </w:r>
      <w:r>
        <w:rPr>
          <w:rFonts w:hint="eastAsia"/>
          <w:color w:val="000000" w:themeColor="text1"/>
          <w:szCs w:val="21"/>
          <w:lang w:val="en-US" w:eastAsia="zh-CN"/>
          <w14:textFill>
            <w14:solidFill>
              <w14:schemeClr w14:val="tx1"/>
            </w14:solidFill>
          </w14:textFill>
        </w:rPr>
        <w:t>总</w:t>
      </w:r>
      <w:r>
        <w:rPr>
          <w:rFonts w:hint="eastAsia"/>
          <w:color w:val="000000" w:themeColor="text1"/>
          <w:szCs w:val="21"/>
          <w14:textFill>
            <w14:solidFill>
              <w14:schemeClr w14:val="tx1"/>
            </w14:solidFill>
          </w14:textFill>
        </w:rPr>
        <w:t>价为最终结算价，投标人不得再要求追加任何费用。</w:t>
      </w:r>
    </w:p>
    <w:p w14:paraId="51DA3EC2">
      <w:pPr>
        <w:pageBreakBefore w:val="0"/>
        <w:widowControl w:val="0"/>
        <w:kinsoku/>
        <w:wordWrap/>
        <w:overflowPunct/>
        <w:topLinePunct w:val="0"/>
        <w:bidi w:val="0"/>
        <w:snapToGrid/>
        <w:spacing w:line="460" w:lineRule="exact"/>
        <w:ind w:firstLine="420" w:firstLineChars="200"/>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投标人投标前应先到项目现场踏勘以充分了解项目实施地点位置、情况、道路、储存空间、装卸限制以及任何其他足以影响承包价的情况，任何因忽视或误解工地情况而导致的索赔或工期延长申请将不被批准。</w:t>
      </w:r>
    </w:p>
    <w:p w14:paraId="3CA6680D">
      <w:pPr>
        <w:pageBreakBefore w:val="0"/>
        <w:widowControl w:val="0"/>
        <w:kinsoku/>
        <w:wordWrap/>
        <w:overflowPunct/>
        <w:topLinePunct w:val="0"/>
        <w:autoSpaceDE w:val="0"/>
        <w:autoSpaceDN w:val="0"/>
        <w:bidi w:val="0"/>
        <w:adjustRightInd w:val="0"/>
        <w:snapToGrid/>
        <w:spacing w:line="460" w:lineRule="exact"/>
        <w:ind w:firstLine="420" w:firstLineChars="200"/>
        <w:jc w:val="lef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各投标人根据招标文件的服务内容、市场行情、自身综合实力、投标文件中关于人员的配备、服务能力、管理水平等各项因素自主确定投标报价，且不得高于招标人设定的最高投标限价，应充分考虑到项目实施过程中的不可预见因素。</w:t>
      </w:r>
    </w:p>
    <w:p w14:paraId="56F290D0">
      <w:pPr>
        <w:pStyle w:val="5"/>
        <w:pageBreakBefore w:val="0"/>
        <w:widowControl w:val="0"/>
        <w:kinsoku/>
        <w:wordWrap/>
        <w:overflowPunct/>
        <w:topLinePunct w:val="0"/>
        <w:bidi w:val="0"/>
        <w:snapToGrid/>
        <w:spacing w:before="0" w:after="0" w:line="460" w:lineRule="exact"/>
        <w:ind w:firstLine="420" w:firstLineChars="200"/>
        <w:jc w:val="left"/>
        <w:textAlignment w:val="auto"/>
        <w:rPr>
          <w:rFonts w:hAnsi="Times New Roman" w:eastAsia="宋体"/>
          <w:color w:val="000000" w:themeColor="text1"/>
          <w:sz w:val="21"/>
          <w:szCs w:val="21"/>
          <w14:textFill>
            <w14:solidFill>
              <w14:schemeClr w14:val="tx1"/>
            </w14:solidFill>
          </w14:textFill>
        </w:rPr>
      </w:pPr>
      <w:r>
        <w:rPr>
          <w:rFonts w:hAnsi="Times New Roman" w:eastAsia="宋体"/>
          <w:color w:val="000000" w:themeColor="text1"/>
          <w:sz w:val="21"/>
          <w:szCs w:val="21"/>
          <w14:textFill>
            <w14:solidFill>
              <w14:schemeClr w14:val="tx1"/>
            </w14:solidFill>
          </w14:textFill>
        </w:rPr>
        <w:t>3.3 投标有效期</w:t>
      </w:r>
      <w:bookmarkEnd w:id="180"/>
      <w:bookmarkEnd w:id="181"/>
      <w:bookmarkEnd w:id="182"/>
      <w:bookmarkEnd w:id="183"/>
      <w:bookmarkEnd w:id="184"/>
      <w:bookmarkEnd w:id="185"/>
    </w:p>
    <w:p w14:paraId="32AA7074">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3.3.1 在投标人须知前附表第3.3.1条规定的投标有效期内，投标人不得要求撤销或修改其投标文件。</w:t>
      </w:r>
    </w:p>
    <w:p w14:paraId="4FA8D367">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3.3.2出现特殊情况需要延长投标有效期的，招标人应通知所有投标人延长投标有效期，但不得要求或被允许修改或撤销其投标文件；投标人拒绝延长的，其投标失效。 </w:t>
      </w:r>
    </w:p>
    <w:p w14:paraId="1AC2F847">
      <w:pPr>
        <w:pStyle w:val="5"/>
        <w:pageBreakBefore w:val="0"/>
        <w:widowControl w:val="0"/>
        <w:kinsoku/>
        <w:wordWrap/>
        <w:overflowPunct/>
        <w:topLinePunct w:val="0"/>
        <w:bidi w:val="0"/>
        <w:snapToGrid/>
        <w:spacing w:before="0" w:after="0" w:line="460" w:lineRule="exact"/>
        <w:ind w:firstLine="420" w:firstLineChars="200"/>
        <w:jc w:val="left"/>
        <w:textAlignment w:val="auto"/>
        <w:rPr>
          <w:rFonts w:hAnsi="Times New Roman" w:eastAsia="宋体"/>
          <w:color w:val="000000" w:themeColor="text1"/>
          <w:sz w:val="21"/>
          <w:szCs w:val="21"/>
          <w14:textFill>
            <w14:solidFill>
              <w14:schemeClr w14:val="tx1"/>
            </w14:solidFill>
          </w14:textFill>
        </w:rPr>
      </w:pPr>
      <w:bookmarkStart w:id="186" w:name="_Toc508216899"/>
      <w:bookmarkStart w:id="187" w:name="_Toc387526303"/>
      <w:bookmarkStart w:id="188" w:name="_Toc15701"/>
      <w:bookmarkStart w:id="189" w:name="_Toc397928569"/>
      <w:bookmarkStart w:id="190" w:name="_Toc387526395"/>
      <w:bookmarkStart w:id="191" w:name="_Toc387526199"/>
      <w:r>
        <w:rPr>
          <w:rFonts w:hAnsi="Times New Roman" w:eastAsia="宋体"/>
          <w:color w:val="000000" w:themeColor="text1"/>
          <w:sz w:val="21"/>
          <w:szCs w:val="21"/>
          <w14:textFill>
            <w14:solidFill>
              <w14:schemeClr w14:val="tx1"/>
            </w14:solidFill>
          </w14:textFill>
        </w:rPr>
        <w:t>3.4投标保证金</w:t>
      </w:r>
      <w:bookmarkEnd w:id="186"/>
      <w:bookmarkEnd w:id="187"/>
      <w:bookmarkEnd w:id="188"/>
      <w:bookmarkEnd w:id="189"/>
      <w:bookmarkEnd w:id="190"/>
      <w:bookmarkEnd w:id="191"/>
    </w:p>
    <w:p w14:paraId="44BB77D0">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bookmarkStart w:id="192" w:name="_Toc339359765"/>
      <w:bookmarkStart w:id="193" w:name="_Toc324255909"/>
      <w:bookmarkStart w:id="194" w:name="_Toc269310939"/>
      <w:r>
        <w:rPr>
          <w:rFonts w:hint="eastAsia"/>
          <w:color w:val="000000" w:themeColor="text1"/>
          <w:szCs w:val="21"/>
          <w14:textFill>
            <w14:solidFill>
              <w14:schemeClr w14:val="tx1"/>
            </w14:solidFill>
          </w14:textFill>
        </w:rPr>
        <w:t>本项目无需缴纳投标保证金</w:t>
      </w:r>
      <w:r>
        <w:rPr>
          <w:color w:val="000000" w:themeColor="text1"/>
          <w:szCs w:val="21"/>
          <w14:textFill>
            <w14:solidFill>
              <w14:schemeClr w14:val="tx1"/>
            </w14:solidFill>
          </w14:textFill>
        </w:rPr>
        <w:t>。</w:t>
      </w:r>
    </w:p>
    <w:p w14:paraId="66F02CFE">
      <w:pPr>
        <w:pStyle w:val="5"/>
        <w:pageBreakBefore w:val="0"/>
        <w:widowControl w:val="0"/>
        <w:kinsoku/>
        <w:wordWrap/>
        <w:overflowPunct/>
        <w:topLinePunct w:val="0"/>
        <w:bidi w:val="0"/>
        <w:snapToGrid/>
        <w:spacing w:before="0" w:after="0" w:line="460" w:lineRule="exact"/>
        <w:ind w:firstLine="420" w:firstLineChars="200"/>
        <w:jc w:val="left"/>
        <w:textAlignment w:val="auto"/>
        <w:rPr>
          <w:rFonts w:hAnsi="Times New Roman" w:eastAsia="宋体"/>
          <w:bCs/>
          <w:color w:val="000000" w:themeColor="text1"/>
          <w:sz w:val="21"/>
          <w:szCs w:val="21"/>
          <w14:textFill>
            <w14:solidFill>
              <w14:schemeClr w14:val="tx1"/>
            </w14:solidFill>
          </w14:textFill>
        </w:rPr>
      </w:pPr>
      <w:bookmarkStart w:id="195" w:name="_Toc508216900"/>
      <w:bookmarkStart w:id="196" w:name="_Toc397928570"/>
      <w:bookmarkStart w:id="197" w:name="_Toc24952"/>
      <w:r>
        <w:rPr>
          <w:rFonts w:hAnsi="Times New Roman" w:eastAsia="宋体"/>
          <w:bCs/>
          <w:color w:val="000000" w:themeColor="text1"/>
          <w:sz w:val="21"/>
          <w:szCs w:val="21"/>
          <w14:textFill>
            <w14:solidFill>
              <w14:schemeClr w14:val="tx1"/>
            </w14:solidFill>
          </w14:textFill>
        </w:rPr>
        <w:t>3.5 资格审查资料</w:t>
      </w:r>
      <w:bookmarkEnd w:id="195"/>
      <w:bookmarkEnd w:id="196"/>
      <w:bookmarkEnd w:id="197"/>
    </w:p>
    <w:p w14:paraId="26FB0296">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3.5.1 投标人投标文件中提供的以下资格审查资料必须为</w:t>
      </w:r>
      <w:r>
        <w:rPr>
          <w:b/>
          <w:color w:val="000000" w:themeColor="text1"/>
          <w:szCs w:val="21"/>
          <w14:textFill>
            <w14:solidFill>
              <w14:schemeClr w14:val="tx1"/>
            </w14:solidFill>
          </w14:textFill>
        </w:rPr>
        <w:t>原件</w:t>
      </w:r>
      <w:r>
        <w:rPr>
          <w:rFonts w:hint="eastAsia"/>
          <w:b/>
          <w:color w:val="000000" w:themeColor="text1"/>
          <w:szCs w:val="21"/>
          <w14:textFill>
            <w14:solidFill>
              <w14:schemeClr w14:val="tx1"/>
            </w14:solidFill>
          </w14:textFill>
        </w:rPr>
        <w:t>的</w:t>
      </w:r>
      <w:r>
        <w:rPr>
          <w:b/>
          <w:color w:val="000000" w:themeColor="text1"/>
          <w:szCs w:val="21"/>
          <w14:textFill>
            <w14:solidFill>
              <w14:schemeClr w14:val="tx1"/>
            </w14:solidFill>
          </w14:textFill>
        </w:rPr>
        <w:t>彩色扫描件</w:t>
      </w:r>
      <w:r>
        <w:rPr>
          <w:color w:val="000000" w:themeColor="text1"/>
          <w:szCs w:val="21"/>
          <w14:textFill>
            <w14:solidFill>
              <w14:schemeClr w14:val="tx1"/>
            </w14:solidFill>
          </w14:textFill>
        </w:rPr>
        <w:t>（或电子证照），关键信息齐全、清晰可辨(钢印除外)。</w:t>
      </w:r>
    </w:p>
    <w:p w14:paraId="069F0711">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（1）投标企业营业执照；</w:t>
      </w:r>
    </w:p>
    <w:p w14:paraId="3ADA6CC0">
      <w:pPr>
        <w:pageBreakBefore w:val="0"/>
        <w:widowControl w:val="0"/>
        <w:kinsoku/>
        <w:wordWrap/>
        <w:overflowPunct/>
        <w:topLinePunct w:val="0"/>
        <w:bidi w:val="0"/>
        <w:snapToGrid/>
        <w:spacing w:line="460" w:lineRule="exact"/>
        <w:ind w:firstLine="420" w:firstLineChars="200"/>
        <w:jc w:val="lef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（2）符合招标公告要求的承诺函</w:t>
      </w:r>
      <w:r>
        <w:rPr>
          <w:rFonts w:hint="eastAsia"/>
          <w:b/>
          <w:bCs/>
          <w:color w:val="000000" w:themeColor="text1"/>
          <w:lang w:eastAsia="zh-CN"/>
          <w14:textFill>
            <w14:solidFill>
              <w14:schemeClr w14:val="tx1"/>
            </w14:solidFill>
          </w14:textFill>
        </w:rPr>
        <w:t>（</w:t>
      </w:r>
      <w:r>
        <w:rPr>
          <w:rFonts w:hint="eastAsia"/>
          <w:b/>
          <w:bCs/>
          <w:color w:val="000000" w:themeColor="text1"/>
          <w:lang w:val="en-US" w:eastAsia="zh-CN"/>
          <w14:textFill>
            <w14:solidFill>
              <w14:schemeClr w14:val="tx1"/>
            </w14:solidFill>
          </w14:textFill>
        </w:rPr>
        <w:t>格式自拟</w:t>
      </w:r>
      <w:r>
        <w:rPr>
          <w:rFonts w:hint="eastAsia"/>
          <w:b/>
          <w:bCs/>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w:t>
      </w:r>
    </w:p>
    <w:p w14:paraId="71219A4C">
      <w:pPr>
        <w:pageBreakBefore w:val="0"/>
        <w:widowControl w:val="0"/>
        <w:kinsoku/>
        <w:wordWrap/>
        <w:overflowPunct/>
        <w:topLinePunct w:val="0"/>
        <w:bidi w:val="0"/>
        <w:snapToGrid/>
        <w:spacing w:line="460" w:lineRule="exact"/>
        <w:ind w:firstLine="422" w:firstLineChars="200"/>
        <w:jc w:val="left"/>
        <w:textAlignment w:val="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特别提醒</w:t>
      </w:r>
      <w:r>
        <w:rPr>
          <w:rFonts w:hint="eastAsia"/>
          <w:b/>
          <w:color w:val="000000" w:themeColor="text1"/>
          <w:szCs w:val="21"/>
          <w14:textFill>
            <w14:solidFill>
              <w14:schemeClr w14:val="tx1"/>
            </w14:solidFill>
          </w14:textFill>
        </w:rPr>
        <w:t>：</w:t>
      </w:r>
    </w:p>
    <w:p w14:paraId="31294BC6">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1、因上述扫描件不清晰无法辨认、或提供的关键信息不全、更新不及时导致被</w:t>
      </w:r>
      <w:r>
        <w:rPr>
          <w:rFonts w:hint="eastAsia"/>
          <w:color w:val="000000" w:themeColor="text1"/>
          <w:szCs w:val="21"/>
          <w14:textFill>
            <w14:solidFill>
              <w14:schemeClr w14:val="tx1"/>
            </w14:solidFill>
          </w14:textFill>
        </w:rPr>
        <w:t>采购人</w:t>
      </w:r>
      <w:r>
        <w:rPr>
          <w:color w:val="000000" w:themeColor="text1"/>
          <w:szCs w:val="21"/>
          <w14:textFill>
            <w14:solidFill>
              <w14:schemeClr w14:val="tx1"/>
            </w14:solidFill>
          </w14:textFill>
        </w:rPr>
        <w:t>或评标委员会评委认定为无效投标的，其不利的后果由投标人自行承担。</w:t>
      </w:r>
    </w:p>
    <w:p w14:paraId="184CAFA4">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2、因资质换证就位或其他非主观原因显示上述证书过期的，主管部门对证书有效期延长有特殊规定的，投标时需提供相关说明，资格审查方予通过。</w:t>
      </w:r>
    </w:p>
    <w:p w14:paraId="50FAEFB5">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3、若中标候选人上述有关证书有效性被质疑的，被质疑人出具发证机关证明或通过二维码或证书查询系统能够证明有效即可。</w:t>
      </w:r>
    </w:p>
    <w:p w14:paraId="45CAD762">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采购人</w:t>
      </w:r>
      <w:r>
        <w:rPr>
          <w:color w:val="000000" w:themeColor="text1"/>
          <w:szCs w:val="21"/>
          <w14:textFill>
            <w14:solidFill>
              <w14:schemeClr w14:val="tx1"/>
            </w14:solidFill>
          </w14:textFill>
        </w:rPr>
        <w:t>或评标委员会的审查或评审仅针对投标文件提交截止时间前投标人提交的投标文件（包含以链接形式提供的附件资料）进行审查或评审，投标人后续撤回、修改、补充、更新、作废诚信库信息，不影响按照投标文件提交截止时间前投标人提交的投标文件形成的审查或评审结果。投标人若需要更正投标资料信息，应在投标文件提交截止时间前撤回投标文件，重新勾选投标资料后上传。投标文件提交后，投标人不得对投标资料信息进行改动。</w:t>
      </w:r>
      <w:bookmarkStart w:id="198" w:name="_Toc387526200"/>
      <w:bookmarkStart w:id="199" w:name="_Toc387526304"/>
      <w:bookmarkStart w:id="200" w:name="_Toc22895"/>
      <w:bookmarkStart w:id="201" w:name="_Toc508216901"/>
      <w:bookmarkStart w:id="202" w:name="_Toc387526396"/>
      <w:bookmarkStart w:id="203" w:name="_Toc397928571"/>
    </w:p>
    <w:p w14:paraId="11B5A245">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3.6 投标文件的编制</w:t>
      </w:r>
    </w:p>
    <w:p w14:paraId="001EF87A">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3.6.1 投标文件应按第六章“投标文件格式”进行编写，如有必要可自行增加，作为投标文件的组成部分。</w:t>
      </w:r>
    </w:p>
    <w:p w14:paraId="3F2F17C5">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3.6.2 电子投标文件应使用“新点电子交易平台-大丰采购系统”可接受的投标文件制作工具进行编制和加密，并在投标文件提交截止时间前上传至“新点电子交易平台-大丰采购系统”中。</w:t>
      </w:r>
    </w:p>
    <w:p w14:paraId="0CAFA3EF">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3.6.3 投标文件中涉及从企业诚信库中获取的材料见本章第3.1.1项，投标人应在相应章节中建立相应链接（点击后可自动进入企业诚信库查看相应原件彩色扫描件，并作为投标文件组成部分）。对已在投标文件中链接的企业诚信库材料进行更新的，投标文件须重新链接获取相应信息。</w:t>
      </w:r>
    </w:p>
    <w:p w14:paraId="4930AEA3">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投标人有义务核查投标文件中相应链接，以及从企业诚信库中获取扫描件的有效性和真实性，如存在扫描件无效、不清晰、不完整或链接无效等情形的，投标人应及时更新企业诚信库相关材料，并重新链接获取相应信息。</w:t>
      </w:r>
    </w:p>
    <w:p w14:paraId="6BA88080">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必须从诚信库获取的材料，须通过互联网可以查询，未按本项要求从企业诚信库中获取的，视为未提供，在评标时该材料不予认可。</w:t>
      </w:r>
    </w:p>
    <w:p w14:paraId="3A568DCF">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投标人须知前附表3.1.1条无需从诚信库勾选的材料，编制投标文件时直接提供扫描件上传至投标文件制作工具其他材料栏。</w:t>
      </w:r>
    </w:p>
    <w:p w14:paraId="258B19D7">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3.6.4投标文件应当对招标文件有关</w:t>
      </w:r>
      <w:r>
        <w:rPr>
          <w:rFonts w:hint="eastAsia"/>
          <w:color w:val="000000" w:themeColor="text1"/>
          <w:szCs w:val="21"/>
          <w14:textFill>
            <w14:solidFill>
              <w14:schemeClr w14:val="tx1"/>
            </w14:solidFill>
          </w14:textFill>
        </w:rPr>
        <w:t>合同履行期限（服务期）</w:t>
      </w:r>
      <w:r>
        <w:rPr>
          <w:color w:val="000000" w:themeColor="text1"/>
          <w:szCs w:val="21"/>
          <w14:textFill>
            <w14:solidFill>
              <w14:schemeClr w14:val="tx1"/>
            </w14:solidFill>
          </w14:textFill>
        </w:rPr>
        <w:t>、投标有效期、质量要求、技术标准和要求、招标范围等实质性内容作出响应。</w:t>
      </w:r>
    </w:p>
    <w:p w14:paraId="646B0633">
      <w:pPr>
        <w:pStyle w:val="5"/>
        <w:pageBreakBefore w:val="0"/>
        <w:widowControl w:val="0"/>
        <w:kinsoku/>
        <w:wordWrap/>
        <w:overflowPunct/>
        <w:topLinePunct w:val="0"/>
        <w:bidi w:val="0"/>
        <w:snapToGrid/>
        <w:spacing w:before="0" w:after="0" w:line="460" w:lineRule="exact"/>
        <w:ind w:firstLine="420" w:firstLineChars="200"/>
        <w:jc w:val="left"/>
        <w:textAlignment w:val="auto"/>
        <w:rPr>
          <w:rFonts w:hAnsi="Times New Roman" w:eastAsia="宋体"/>
          <w:color w:val="000000" w:themeColor="text1"/>
          <w:sz w:val="21"/>
          <w:szCs w:val="21"/>
          <w14:textFill>
            <w14:solidFill>
              <w14:schemeClr w14:val="tx1"/>
            </w14:solidFill>
          </w14:textFill>
        </w:rPr>
      </w:pPr>
      <w:r>
        <w:rPr>
          <w:rFonts w:hAnsi="Times New Roman" w:eastAsia="宋体"/>
          <w:color w:val="000000" w:themeColor="text1"/>
          <w:sz w:val="21"/>
          <w:szCs w:val="21"/>
          <w14:textFill>
            <w14:solidFill>
              <w14:schemeClr w14:val="tx1"/>
            </w14:solidFill>
          </w14:textFill>
        </w:rPr>
        <w:t>3.6.5补充内容：投标文件编制的其它要求详见投标人须知前附表。</w:t>
      </w:r>
    </w:p>
    <w:p w14:paraId="78D9BC19">
      <w:pPr>
        <w:pStyle w:val="5"/>
        <w:pageBreakBefore w:val="0"/>
        <w:widowControl w:val="0"/>
        <w:kinsoku/>
        <w:wordWrap/>
        <w:overflowPunct/>
        <w:topLinePunct w:val="0"/>
        <w:bidi w:val="0"/>
        <w:snapToGrid/>
        <w:spacing w:before="0" w:after="0" w:line="460" w:lineRule="exact"/>
        <w:ind w:firstLine="420" w:firstLineChars="200"/>
        <w:jc w:val="left"/>
        <w:textAlignment w:val="auto"/>
        <w:rPr>
          <w:rFonts w:hAnsi="Times New Roman" w:eastAsia="宋体"/>
          <w:color w:val="000000" w:themeColor="text1"/>
          <w:sz w:val="21"/>
          <w:szCs w:val="21"/>
          <w14:textFill>
            <w14:solidFill>
              <w14:schemeClr w14:val="tx1"/>
            </w14:solidFill>
          </w14:textFill>
        </w:rPr>
      </w:pPr>
      <w:r>
        <w:rPr>
          <w:rFonts w:hAnsi="Times New Roman" w:eastAsia="宋体"/>
          <w:color w:val="000000" w:themeColor="text1"/>
          <w:sz w:val="21"/>
          <w:szCs w:val="21"/>
          <w14:textFill>
            <w14:solidFill>
              <w14:schemeClr w14:val="tx1"/>
            </w14:solidFill>
          </w14:textFill>
        </w:rPr>
        <w:t>3.7 备选投标方案</w:t>
      </w:r>
      <w:bookmarkEnd w:id="192"/>
      <w:bookmarkEnd w:id="193"/>
      <w:bookmarkEnd w:id="194"/>
      <w:bookmarkEnd w:id="198"/>
      <w:bookmarkEnd w:id="199"/>
      <w:bookmarkEnd w:id="200"/>
      <w:bookmarkEnd w:id="201"/>
      <w:bookmarkEnd w:id="202"/>
      <w:bookmarkEnd w:id="203"/>
    </w:p>
    <w:p w14:paraId="541208A9">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除投标人须知前附表另有规定外，投标人不得提交备选投标方案。允许投标人提交备选投标方案的，只有中标候选人的投标人，其所提交的备选投标方案方可予以考虑。评标委员会认为中标候选人的备选投标方案优于其按照招标文件要求编制的投标方案的，招标人可以接受该备选投标方案。</w:t>
      </w:r>
      <w:bookmarkStart w:id="204" w:name="_Toc508216903"/>
      <w:bookmarkStart w:id="205" w:name="_Toc387526202"/>
      <w:bookmarkStart w:id="206" w:name="_Toc397928573"/>
      <w:bookmarkStart w:id="207" w:name="_Toc369077564"/>
      <w:bookmarkStart w:id="208" w:name="_Toc363329373"/>
      <w:bookmarkStart w:id="209" w:name="_Toc387526398"/>
      <w:bookmarkStart w:id="210" w:name="_Toc368759378"/>
      <w:bookmarkStart w:id="211" w:name="_Toc387526306"/>
      <w:bookmarkStart w:id="212" w:name="_Toc184635074"/>
      <w:bookmarkStart w:id="213" w:name="_Toc367894801"/>
      <w:bookmarkStart w:id="214" w:name="_Toc368760430"/>
      <w:bookmarkStart w:id="215" w:name="_Toc24421"/>
      <w:bookmarkStart w:id="216" w:name="_Toc184635075"/>
      <w:bookmarkStart w:id="217" w:name="_Toc367894802"/>
      <w:bookmarkStart w:id="218" w:name="_Toc368759379"/>
      <w:bookmarkStart w:id="219" w:name="_Toc363329374"/>
    </w:p>
    <w:p w14:paraId="52E325B8">
      <w:pPr>
        <w:pageBreakBefore w:val="0"/>
        <w:widowControl w:val="0"/>
        <w:kinsoku/>
        <w:wordWrap/>
        <w:overflowPunct/>
        <w:topLinePunct w:val="0"/>
        <w:bidi w:val="0"/>
        <w:snapToGrid/>
        <w:spacing w:line="460" w:lineRule="exact"/>
        <w:ind w:firstLine="422" w:firstLineChars="200"/>
        <w:jc w:val="left"/>
        <w:textAlignment w:val="auto"/>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4.投标</w:t>
      </w:r>
      <w:bookmarkEnd w:id="204"/>
      <w:bookmarkEnd w:id="205"/>
      <w:bookmarkEnd w:id="206"/>
      <w:bookmarkEnd w:id="207"/>
      <w:bookmarkEnd w:id="208"/>
      <w:bookmarkEnd w:id="209"/>
      <w:bookmarkEnd w:id="210"/>
      <w:bookmarkEnd w:id="211"/>
      <w:bookmarkEnd w:id="212"/>
      <w:bookmarkEnd w:id="213"/>
      <w:bookmarkEnd w:id="214"/>
      <w:bookmarkEnd w:id="215"/>
    </w:p>
    <w:p w14:paraId="6F2AD404">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4.1 投标文件的加密和数字证书认证</w:t>
      </w:r>
    </w:p>
    <w:p w14:paraId="591484EE">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4.1.1 投标文件应使用数字证书认证并加密。</w:t>
      </w:r>
    </w:p>
    <w:p w14:paraId="033C7276">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4.1.2 未按本章第4.1.1项要求加密和数字证书认证的投标文件，招标人拒收。</w:t>
      </w:r>
    </w:p>
    <w:p w14:paraId="40FFBDBB">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4.2 投标文件的提交</w:t>
      </w:r>
    </w:p>
    <w:p w14:paraId="2E1E96DD">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4.2.1 投标人应在招标文件规定的投标文件提交截止时间前完成投标文件的提交。电子档投标文件的提交是指使用新点电子交易平台-大丰采购系统在投标文件提交截止时间前完成投标文件的上传。</w:t>
      </w:r>
    </w:p>
    <w:p w14:paraId="668E644A">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4.2.2 投标人提交投标文件的地点：见投标人须知前附表。</w:t>
      </w:r>
    </w:p>
    <w:p w14:paraId="7FAA5A13">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4.2.3 除招标文件另有规定外，投标人所提交的投标文件不予退还。</w:t>
      </w:r>
    </w:p>
    <w:p w14:paraId="454E7A05">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4.2.4中标单位在中标结果公告后、领取中标通知书前必须提供与投标文件电子标书一致的纸质投标文件加盖投标人单位鲜红公章并装订成册（共五套：正本一套、副本四套）以供招标人、招标代理机构及公共资源交易中心存档。纸质投标文件应使用CA系统打印，且必须保证与评标时的电子标书完全一致。</w:t>
      </w:r>
    </w:p>
    <w:p w14:paraId="6EABFA0A">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4.2.5有下列情形之一的投标文件拒收并退回：</w:t>
      </w:r>
    </w:p>
    <w:p w14:paraId="56A444DF">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1）投标文件逾期提交的或者未在指定时间内完成投标文件解密的。</w:t>
      </w:r>
    </w:p>
    <w:p w14:paraId="76F306EF">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2）投标人CA锁无法解密投标文件的。</w:t>
      </w:r>
    </w:p>
    <w:p w14:paraId="645DFC8D">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4.3 投标文件的修改与撤回</w:t>
      </w:r>
    </w:p>
    <w:p w14:paraId="04AEA5A3">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4.3.1 在投标人须知前附表规定的投标文件提交截止时间前，投标人可以多次修改或撤回已提交的投标文件，最终投标文件以投标文件提交截止时间前完成上传至新点电子交易平台-大丰采购系统最后一份投标文件为准。</w:t>
      </w:r>
    </w:p>
    <w:p w14:paraId="3B150DB8">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4.3.2 修改的投标文件应按照本章第3.6条、第4.2条规定进行编制和提交。</w:t>
      </w:r>
    </w:p>
    <w:p w14:paraId="31BC2BD4">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4.3.3投标文件提交截止时间之后，在投标有效期内，投标人不得修改或撤回投标文件。</w:t>
      </w:r>
    </w:p>
    <w:p w14:paraId="1AEA31A5">
      <w:pPr>
        <w:pStyle w:val="163"/>
        <w:pageBreakBefore w:val="0"/>
        <w:widowControl w:val="0"/>
        <w:kinsoku/>
        <w:wordWrap/>
        <w:overflowPunct/>
        <w:topLinePunct w:val="0"/>
        <w:bidi w:val="0"/>
        <w:snapToGrid/>
        <w:spacing w:before="0" w:after="0" w:line="460" w:lineRule="exact"/>
        <w:ind w:firstLine="422" w:firstLineChars="200"/>
        <w:jc w:val="left"/>
        <w:textAlignment w:val="auto"/>
        <w:rPr>
          <w:rFonts w:ascii="Times New Roman" w:hAnsi="Times New Roman" w:cs="Times New Roman"/>
          <w:color w:val="000000" w:themeColor="text1"/>
          <w:sz w:val="21"/>
          <w:szCs w:val="21"/>
          <w14:textFill>
            <w14:solidFill>
              <w14:schemeClr w14:val="tx1"/>
            </w14:solidFill>
          </w14:textFill>
        </w:rPr>
      </w:pPr>
      <w:bookmarkStart w:id="220" w:name="_Toc368760431"/>
      <w:bookmarkStart w:id="221" w:name="_Toc508216908"/>
      <w:bookmarkStart w:id="222" w:name="_Toc387526402"/>
      <w:bookmarkStart w:id="223" w:name="_Toc22329"/>
      <w:bookmarkStart w:id="224" w:name="_Toc369077565"/>
      <w:bookmarkStart w:id="225" w:name="_Toc397928578"/>
      <w:bookmarkStart w:id="226" w:name="_Toc387526310"/>
      <w:bookmarkStart w:id="227" w:name="_Toc387526206"/>
      <w:bookmarkStart w:id="228" w:name="_Toc366679697"/>
      <w:bookmarkStart w:id="229" w:name="_Toc246996953"/>
      <w:bookmarkStart w:id="230" w:name="_Toc246996210"/>
      <w:bookmarkStart w:id="231" w:name="_Toc144974534"/>
      <w:bookmarkStart w:id="232" w:name="_Toc179632584"/>
      <w:bookmarkStart w:id="233" w:name="_Toc247085724"/>
      <w:bookmarkStart w:id="234" w:name="_Toc152045566"/>
      <w:bookmarkStart w:id="235" w:name="_Toc152042342"/>
      <w:bookmarkStart w:id="236" w:name="_Toc368759381"/>
      <w:r>
        <w:rPr>
          <w:rFonts w:ascii="Times New Roman" w:hAnsi="Times New Roman" w:cs="Times New Roman"/>
          <w:color w:val="000000" w:themeColor="text1"/>
          <w:sz w:val="21"/>
          <w:szCs w:val="21"/>
          <w14:textFill>
            <w14:solidFill>
              <w14:schemeClr w14:val="tx1"/>
            </w14:solidFill>
          </w14:textFill>
        </w:rPr>
        <w:t>5.开标</w:t>
      </w:r>
      <w:bookmarkEnd w:id="220"/>
      <w:bookmarkEnd w:id="221"/>
      <w:bookmarkEnd w:id="222"/>
      <w:bookmarkEnd w:id="223"/>
      <w:bookmarkEnd w:id="224"/>
      <w:bookmarkEnd w:id="225"/>
      <w:bookmarkEnd w:id="226"/>
      <w:bookmarkEnd w:id="227"/>
    </w:p>
    <w:p w14:paraId="257F4150">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bookmarkStart w:id="237" w:name="_Toc387526313"/>
      <w:bookmarkStart w:id="238" w:name="_Toc22517"/>
      <w:bookmarkStart w:id="239" w:name="_Toc184635076"/>
      <w:bookmarkStart w:id="240" w:name="_Toc387526209"/>
      <w:bookmarkStart w:id="241" w:name="_Toc368759380"/>
      <w:bookmarkStart w:id="242" w:name="_Toc369077566"/>
      <w:bookmarkStart w:id="243" w:name="_Toc363329375"/>
      <w:bookmarkStart w:id="244" w:name="_Toc397928581"/>
      <w:bookmarkStart w:id="245" w:name="_Toc368760432"/>
      <w:bookmarkStart w:id="246" w:name="_Toc387526405"/>
      <w:bookmarkStart w:id="247" w:name="_Toc367894803"/>
      <w:r>
        <w:rPr>
          <w:color w:val="000000" w:themeColor="text1"/>
          <w:szCs w:val="21"/>
          <w14:textFill>
            <w14:solidFill>
              <w14:schemeClr w14:val="tx1"/>
            </w14:solidFill>
          </w14:textFill>
        </w:rPr>
        <w:t>5.1 开标时间、地点和投标人参会代表</w:t>
      </w:r>
    </w:p>
    <w:p w14:paraId="1DF960A6">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5.1.1开标时间、地点详见投标须知前附表5.1.1规定的时间、地点。</w:t>
      </w:r>
    </w:p>
    <w:p w14:paraId="02FD77D5">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5.1.</w:t>
      </w:r>
      <w:r>
        <w:rPr>
          <w:rFonts w:hint="eastAsia"/>
          <w:color w:val="000000" w:themeColor="text1"/>
          <w:szCs w:val="21"/>
          <w14:textFill>
            <w14:solidFill>
              <w14:schemeClr w14:val="tx1"/>
            </w14:solidFill>
          </w14:textFill>
        </w:rPr>
        <w:t>2参加开标会的投标人代表</w:t>
      </w:r>
      <w:r>
        <w:rPr>
          <w:color w:val="000000" w:themeColor="text1"/>
          <w:szCs w:val="21"/>
          <w14:textFill>
            <w14:solidFill>
              <w14:schemeClr w14:val="tx1"/>
            </w14:solidFill>
          </w14:textFill>
        </w:rPr>
        <w:t>详见投标人须知前附表</w:t>
      </w:r>
      <w:r>
        <w:rPr>
          <w:rFonts w:hint="eastAsia"/>
          <w:color w:val="000000" w:themeColor="text1"/>
          <w:szCs w:val="21"/>
          <w14:textFill>
            <w14:solidFill>
              <w14:schemeClr w14:val="tx1"/>
            </w14:solidFill>
          </w14:textFill>
        </w:rPr>
        <w:t>5.1.2</w:t>
      </w:r>
      <w:r>
        <w:rPr>
          <w:color w:val="000000" w:themeColor="text1"/>
          <w:szCs w:val="21"/>
          <w14:textFill>
            <w14:solidFill>
              <w14:schemeClr w14:val="tx1"/>
            </w14:solidFill>
          </w14:textFill>
        </w:rPr>
        <w:t>；</w:t>
      </w:r>
    </w:p>
    <w:p w14:paraId="50EACA58">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5.2 开标程序</w:t>
      </w:r>
    </w:p>
    <w:p w14:paraId="5A617300">
      <w:pPr>
        <w:pageBreakBefore w:val="0"/>
        <w:widowControl w:val="0"/>
        <w:kinsoku/>
        <w:wordWrap/>
        <w:overflowPunct/>
        <w:topLinePunct w:val="0"/>
        <w:bidi w:val="0"/>
        <w:snapToGrid/>
        <w:spacing w:line="460" w:lineRule="exact"/>
        <w:ind w:firstLine="422" w:firstLineChars="200"/>
        <w:jc w:val="left"/>
        <w:textAlignment w:val="auto"/>
        <w:rPr>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5.2.1</w:t>
      </w:r>
      <w:r>
        <w:rPr>
          <w:b/>
          <w:bCs/>
          <w:color w:val="000000" w:themeColor="text1"/>
          <w:szCs w:val="21"/>
          <w14:textFill>
            <w14:solidFill>
              <w14:schemeClr w14:val="tx1"/>
            </w14:solidFill>
          </w14:textFill>
        </w:rPr>
        <w:t>投标文件解密</w:t>
      </w:r>
    </w:p>
    <w:p w14:paraId="6785C075">
      <w:pPr>
        <w:pageBreakBefore w:val="0"/>
        <w:widowControl w:val="0"/>
        <w:kinsoku/>
        <w:wordWrap/>
        <w:overflowPunct/>
        <w:topLinePunct w:val="0"/>
        <w:bidi w:val="0"/>
        <w:snapToGrid/>
        <w:spacing w:line="460" w:lineRule="exact"/>
        <w:ind w:firstLine="420" w:firstLineChars="200"/>
        <w:jc w:val="left"/>
        <w:textAlignment w:val="auto"/>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t>投标文件提交截止时间后，招标人通过开标大厅系统发出投标文件解密的指令，投标人解密时间限定在开标大厅系统发出投标文件解密指令后15分钟内完成。投标人未按时完成投标文件解密或解密未成功的，均被视为投标人放弃本次投标（无效投标）。</w:t>
      </w:r>
      <w:r>
        <w:rPr>
          <w:bCs/>
          <w:color w:val="000000" w:themeColor="text1"/>
          <w:szCs w:val="21"/>
          <w14:textFill>
            <w14:solidFill>
              <w14:schemeClr w14:val="tx1"/>
            </w14:solidFill>
          </w14:textFill>
        </w:rPr>
        <w:t>因投标人自身设备故障或自身原因导致无法完成投标的，对其形成的不利后果及责任由投标人自行承担。</w:t>
      </w:r>
      <w:r>
        <w:rPr>
          <w:color w:val="000000" w:themeColor="text1"/>
          <w:szCs w:val="21"/>
          <w14:textFill>
            <w14:solidFill>
              <w14:schemeClr w14:val="tx1"/>
            </w14:solidFill>
          </w14:textFill>
        </w:rPr>
        <w:t>解密完成后，投标人可自行决定是否继续参加开（唱）标会议，投标人未参加开标的，视同认可开标结果。</w:t>
      </w:r>
    </w:p>
    <w:p w14:paraId="11353334">
      <w:pPr>
        <w:pageBreakBefore w:val="0"/>
        <w:widowControl w:val="0"/>
        <w:kinsoku/>
        <w:wordWrap/>
        <w:overflowPunct/>
        <w:topLinePunct w:val="0"/>
        <w:bidi w:val="0"/>
        <w:snapToGrid/>
        <w:spacing w:line="460" w:lineRule="exact"/>
        <w:ind w:firstLine="422" w:firstLineChars="200"/>
        <w:jc w:val="left"/>
        <w:textAlignment w:val="auto"/>
        <w:rPr>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5.2.2</w:t>
      </w:r>
      <w:r>
        <w:rPr>
          <w:b/>
          <w:bCs/>
          <w:color w:val="000000" w:themeColor="text1"/>
          <w:szCs w:val="21"/>
          <w14:textFill>
            <w14:solidFill>
              <w14:schemeClr w14:val="tx1"/>
            </w14:solidFill>
          </w14:textFill>
        </w:rPr>
        <w:t>开（唱）标</w:t>
      </w:r>
    </w:p>
    <w:p w14:paraId="40FA1E8B">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宣布开标纪律；</w:t>
      </w:r>
    </w:p>
    <w:p w14:paraId="56728D5E">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宣布招标人、招标代理机构、招投标监管部门、交易中心出席开标会的有关人员姓名；</w:t>
      </w:r>
    </w:p>
    <w:p w14:paraId="03A624F2">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招标人（招标代理机构）导入投标文件；</w:t>
      </w:r>
    </w:p>
    <w:p w14:paraId="17E40A92">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当众唱标，宣读投标人名称、标段名称、质量标准、服务期、报价、项目负责人及其他内容；</w:t>
      </w:r>
    </w:p>
    <w:p w14:paraId="22762E6D">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投标人对开标有异议的，应当在开标现场提出，由招标人答复并制作记录，未提出异议的视为认同；</w:t>
      </w:r>
    </w:p>
    <w:p w14:paraId="2ADFC598">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开标会议结束。</w:t>
      </w:r>
    </w:p>
    <w:p w14:paraId="65AC2252">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5.3 特殊情况处理</w:t>
      </w:r>
    </w:p>
    <w:p w14:paraId="17AD9648">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5.3.1因“网上开评标系统”故障，开标活动无法正常进行时，招标人可根据实际情况相应延迟解密时间或调整开标时间。“网上开评标系统”故障是指非投标人原因造成所有投标人电子投标文件均无法解密的情形。部分投标文件无法解密的，不适用该条款。</w:t>
      </w:r>
    </w:p>
    <w:p w14:paraId="796B109C">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5.3.2 因投标人原因造成投标文件在规定的时间内未完成解密的，该投标将被拒绝。</w:t>
      </w:r>
    </w:p>
    <w:p w14:paraId="1B692351">
      <w:pPr>
        <w:pageBreakBefore w:val="0"/>
        <w:widowControl w:val="0"/>
        <w:kinsoku/>
        <w:wordWrap/>
        <w:overflowPunct/>
        <w:topLinePunct w:val="0"/>
        <w:bidi w:val="0"/>
        <w:snapToGrid/>
        <w:spacing w:line="460" w:lineRule="exact"/>
        <w:ind w:firstLine="420" w:firstLineChars="200"/>
        <w:jc w:val="left"/>
        <w:textAlignment w:val="auto"/>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t>5.3.3 投标人对开标有异议的，应当在开标系统中当场提出，招标人当场予以答复，并制作记录。</w:t>
      </w:r>
    </w:p>
    <w:p w14:paraId="2B7C8A9B">
      <w:pPr>
        <w:pStyle w:val="163"/>
        <w:pageBreakBefore w:val="0"/>
        <w:widowControl w:val="0"/>
        <w:kinsoku/>
        <w:wordWrap/>
        <w:overflowPunct/>
        <w:topLinePunct w:val="0"/>
        <w:bidi w:val="0"/>
        <w:snapToGrid/>
        <w:spacing w:before="0" w:after="0" w:line="460" w:lineRule="exact"/>
        <w:ind w:firstLine="422" w:firstLineChars="200"/>
        <w:jc w:val="left"/>
        <w:textAlignment w:val="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6.评标</w:t>
      </w:r>
      <w:bookmarkEnd w:id="237"/>
      <w:bookmarkEnd w:id="238"/>
      <w:bookmarkEnd w:id="239"/>
      <w:bookmarkEnd w:id="240"/>
      <w:bookmarkEnd w:id="241"/>
      <w:bookmarkEnd w:id="242"/>
      <w:bookmarkEnd w:id="243"/>
      <w:bookmarkEnd w:id="244"/>
      <w:bookmarkEnd w:id="245"/>
      <w:bookmarkEnd w:id="246"/>
      <w:bookmarkEnd w:id="247"/>
      <w:bookmarkStart w:id="248" w:name="_Toc387526210"/>
      <w:bookmarkStart w:id="249" w:name="_Toc387526406"/>
      <w:bookmarkStart w:id="250" w:name="_Toc9909"/>
      <w:bookmarkStart w:id="251" w:name="_Toc397928582"/>
      <w:bookmarkStart w:id="252" w:name="_Toc387526314"/>
    </w:p>
    <w:p w14:paraId="63DE2E47">
      <w:pPr>
        <w:pStyle w:val="5"/>
        <w:pageBreakBefore w:val="0"/>
        <w:widowControl w:val="0"/>
        <w:kinsoku/>
        <w:wordWrap/>
        <w:overflowPunct/>
        <w:topLinePunct w:val="0"/>
        <w:bidi w:val="0"/>
        <w:snapToGrid/>
        <w:spacing w:before="0" w:after="0" w:line="460" w:lineRule="exact"/>
        <w:ind w:firstLine="420" w:firstLineChars="200"/>
        <w:jc w:val="left"/>
        <w:textAlignment w:val="auto"/>
        <w:rPr>
          <w:rFonts w:hAnsi="Times New Roman" w:eastAsia="宋体"/>
          <w:color w:val="000000" w:themeColor="text1"/>
          <w:sz w:val="21"/>
          <w:szCs w:val="21"/>
          <w14:textFill>
            <w14:solidFill>
              <w14:schemeClr w14:val="tx1"/>
            </w14:solidFill>
          </w14:textFill>
        </w:rPr>
      </w:pPr>
      <w:bookmarkStart w:id="253" w:name="_Toc508216911"/>
      <w:r>
        <w:rPr>
          <w:rFonts w:hAnsi="Times New Roman" w:eastAsia="宋体"/>
          <w:color w:val="000000" w:themeColor="text1"/>
          <w:sz w:val="21"/>
          <w:szCs w:val="21"/>
          <w14:textFill>
            <w14:solidFill>
              <w14:schemeClr w14:val="tx1"/>
            </w14:solidFill>
          </w14:textFill>
        </w:rPr>
        <w:t>6.1 评标委员会</w:t>
      </w:r>
      <w:bookmarkEnd w:id="248"/>
      <w:bookmarkEnd w:id="249"/>
      <w:bookmarkEnd w:id="250"/>
      <w:bookmarkEnd w:id="251"/>
      <w:bookmarkEnd w:id="252"/>
      <w:bookmarkEnd w:id="253"/>
    </w:p>
    <w:p w14:paraId="5DA24F0E">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bookmarkStart w:id="254" w:name="_Toc339359778"/>
      <w:bookmarkStart w:id="255" w:name="_Toc324255922"/>
      <w:bookmarkStart w:id="256" w:name="_Toc269310951"/>
      <w:r>
        <w:rPr>
          <w:color w:val="000000" w:themeColor="text1"/>
          <w:szCs w:val="21"/>
          <w14:textFill>
            <w14:solidFill>
              <w14:schemeClr w14:val="tx1"/>
            </w14:solidFill>
          </w14:textFill>
        </w:rPr>
        <w:t>6.1.1 评标由招标人依法组建的评标委员会负责。评标委员会由招标人代表以及有关技术、经济等方面的专家组成。评标委员会成员人数以及技术、经济等方面专家的确定方式见投标人须知前附表。</w:t>
      </w:r>
    </w:p>
    <w:p w14:paraId="36BFB031">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6.1.2 评标委员会成员有下列情形之一的，应当回避：</w:t>
      </w:r>
    </w:p>
    <w:p w14:paraId="72D7150D">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（1）投标人或投标人主要负责人的近亲属；</w:t>
      </w:r>
    </w:p>
    <w:p w14:paraId="404F77FA">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（2）项目主管部门或者行政监督部门的人员；</w:t>
      </w:r>
    </w:p>
    <w:p w14:paraId="43BA8D28">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（3）与投标人有经济利益关系；</w:t>
      </w:r>
    </w:p>
    <w:p w14:paraId="66C6217A">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（4）曾因在招标、评标以及其他与招标投标有关活动中从事违法行为而受过行政处罚或刑事处罚的，且在处罚期内。</w:t>
      </w:r>
    </w:p>
    <w:p w14:paraId="59FF3F61">
      <w:pPr>
        <w:pStyle w:val="5"/>
        <w:pageBreakBefore w:val="0"/>
        <w:widowControl w:val="0"/>
        <w:kinsoku/>
        <w:wordWrap/>
        <w:overflowPunct/>
        <w:topLinePunct w:val="0"/>
        <w:bidi w:val="0"/>
        <w:snapToGrid/>
        <w:spacing w:before="0" w:after="0" w:line="460" w:lineRule="exact"/>
        <w:ind w:firstLine="420" w:firstLineChars="200"/>
        <w:jc w:val="left"/>
        <w:textAlignment w:val="auto"/>
        <w:rPr>
          <w:rFonts w:hAnsi="Times New Roman" w:eastAsia="宋体"/>
          <w:color w:val="000000" w:themeColor="text1"/>
          <w:sz w:val="21"/>
          <w:szCs w:val="21"/>
          <w14:textFill>
            <w14:solidFill>
              <w14:schemeClr w14:val="tx1"/>
            </w14:solidFill>
          </w14:textFill>
        </w:rPr>
      </w:pPr>
      <w:bookmarkStart w:id="257" w:name="_Toc387526407"/>
      <w:bookmarkStart w:id="258" w:name="_Toc397928583"/>
      <w:bookmarkStart w:id="259" w:name="_Toc508216912"/>
      <w:bookmarkStart w:id="260" w:name="_Toc387526315"/>
      <w:bookmarkStart w:id="261" w:name="_Toc12316"/>
      <w:bookmarkStart w:id="262" w:name="_Toc387526211"/>
      <w:r>
        <w:rPr>
          <w:rFonts w:hAnsi="Times New Roman" w:eastAsia="宋体"/>
          <w:color w:val="000000" w:themeColor="text1"/>
          <w:sz w:val="21"/>
          <w:szCs w:val="21"/>
          <w14:textFill>
            <w14:solidFill>
              <w14:schemeClr w14:val="tx1"/>
            </w14:solidFill>
          </w14:textFill>
        </w:rPr>
        <w:t>6.2</w:t>
      </w:r>
      <w:bookmarkEnd w:id="254"/>
      <w:bookmarkEnd w:id="255"/>
      <w:bookmarkEnd w:id="256"/>
      <w:r>
        <w:rPr>
          <w:rFonts w:hAnsi="Times New Roman" w:eastAsia="宋体"/>
          <w:color w:val="000000" w:themeColor="text1"/>
          <w:sz w:val="21"/>
          <w:szCs w:val="21"/>
          <w14:textFill>
            <w14:solidFill>
              <w14:schemeClr w14:val="tx1"/>
            </w14:solidFill>
          </w14:textFill>
        </w:rPr>
        <w:t xml:space="preserve"> 评标原则</w:t>
      </w:r>
      <w:bookmarkEnd w:id="257"/>
      <w:bookmarkEnd w:id="258"/>
      <w:bookmarkEnd w:id="259"/>
      <w:bookmarkEnd w:id="260"/>
      <w:bookmarkEnd w:id="261"/>
      <w:bookmarkEnd w:id="262"/>
    </w:p>
    <w:p w14:paraId="302F41F5">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评标活动遵循公平、公正、科学和择优的原则。</w:t>
      </w:r>
    </w:p>
    <w:p w14:paraId="2002260D">
      <w:pPr>
        <w:pStyle w:val="5"/>
        <w:pageBreakBefore w:val="0"/>
        <w:widowControl w:val="0"/>
        <w:kinsoku/>
        <w:wordWrap/>
        <w:overflowPunct/>
        <w:topLinePunct w:val="0"/>
        <w:bidi w:val="0"/>
        <w:snapToGrid/>
        <w:spacing w:before="0" w:after="0" w:line="460" w:lineRule="exact"/>
        <w:ind w:firstLine="420" w:firstLineChars="200"/>
        <w:jc w:val="left"/>
        <w:textAlignment w:val="auto"/>
        <w:rPr>
          <w:rFonts w:hAnsi="Times New Roman" w:eastAsia="宋体"/>
          <w:color w:val="000000" w:themeColor="text1"/>
          <w:sz w:val="21"/>
          <w:szCs w:val="21"/>
          <w14:textFill>
            <w14:solidFill>
              <w14:schemeClr w14:val="tx1"/>
            </w14:solidFill>
          </w14:textFill>
        </w:rPr>
      </w:pPr>
      <w:bookmarkStart w:id="263" w:name="_Toc247085723"/>
      <w:bookmarkStart w:id="264" w:name="_Toc366679696"/>
      <w:bookmarkStart w:id="265" w:name="_Toc152042341"/>
      <w:bookmarkStart w:id="266" w:name="_Toc508216913"/>
      <w:bookmarkStart w:id="267" w:name="_Toc246996952"/>
      <w:bookmarkStart w:id="268" w:name="_Toc397928584"/>
      <w:bookmarkStart w:id="269" w:name="_Toc6500"/>
      <w:bookmarkStart w:id="270" w:name="_Toc179632583"/>
      <w:bookmarkStart w:id="271" w:name="_Toc152045565"/>
      <w:bookmarkStart w:id="272" w:name="_Toc144974533"/>
      <w:bookmarkStart w:id="273" w:name="_Toc246996209"/>
      <w:bookmarkStart w:id="274" w:name="_Toc387526408"/>
      <w:bookmarkStart w:id="275" w:name="_Toc387526212"/>
      <w:bookmarkStart w:id="276" w:name="_Toc387526316"/>
      <w:r>
        <w:rPr>
          <w:rFonts w:hAnsi="Times New Roman" w:eastAsia="宋体"/>
          <w:color w:val="000000" w:themeColor="text1"/>
          <w:sz w:val="21"/>
          <w:szCs w:val="21"/>
          <w14:textFill>
            <w14:solidFill>
              <w14:schemeClr w14:val="tx1"/>
            </w14:solidFill>
          </w14:textFill>
        </w:rPr>
        <w:t>6.3 评标</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0D7A9698">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评标委员会按照第三章“评标办法”规定的方法、评审因素、标准和程序对投标文件进行评审。第三章“评标办法”没有规定的方法、评审因素和标准，不作为评标依据。</w:t>
      </w:r>
    </w:p>
    <w:p w14:paraId="32EFFED7">
      <w:pPr>
        <w:pStyle w:val="5"/>
        <w:pageBreakBefore w:val="0"/>
        <w:widowControl w:val="0"/>
        <w:kinsoku/>
        <w:wordWrap/>
        <w:overflowPunct/>
        <w:topLinePunct w:val="0"/>
        <w:bidi w:val="0"/>
        <w:snapToGrid/>
        <w:spacing w:before="0" w:after="0" w:line="460" w:lineRule="exact"/>
        <w:ind w:firstLine="420" w:firstLineChars="200"/>
        <w:jc w:val="left"/>
        <w:textAlignment w:val="auto"/>
        <w:rPr>
          <w:rFonts w:hAnsi="Times New Roman" w:eastAsia="宋体"/>
          <w:color w:val="000000" w:themeColor="text1"/>
          <w:sz w:val="21"/>
          <w:szCs w:val="21"/>
          <w14:textFill>
            <w14:solidFill>
              <w14:schemeClr w14:val="tx1"/>
            </w14:solidFill>
          </w14:textFill>
        </w:rPr>
      </w:pPr>
      <w:bookmarkStart w:id="277" w:name="_Toc508216915"/>
      <w:r>
        <w:rPr>
          <w:rFonts w:hAnsi="Times New Roman" w:eastAsia="宋体"/>
          <w:color w:val="000000" w:themeColor="text1"/>
          <w:sz w:val="21"/>
          <w:szCs w:val="21"/>
          <w14:textFill>
            <w14:solidFill>
              <w14:schemeClr w14:val="tx1"/>
            </w14:solidFill>
          </w14:textFill>
        </w:rPr>
        <w:t>6.4无效标书条款</w:t>
      </w:r>
      <w:bookmarkEnd w:id="277"/>
    </w:p>
    <w:p w14:paraId="3C104BBB">
      <w:pPr>
        <w:pageBreakBefore w:val="0"/>
        <w:widowControl w:val="0"/>
        <w:shd w:val="clear" w:color="auto" w:fill="FFFFFF"/>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投标文件有下列情况之一的，属于重大偏差，视为未能对招标文件作出实质性响应，应当作为无效投标予以否决：</w:t>
      </w:r>
    </w:p>
    <w:p w14:paraId="583625AA">
      <w:pPr>
        <w:pageBreakBefore w:val="0"/>
        <w:widowControl w:val="0"/>
        <w:shd w:val="clear" w:color="auto" w:fill="FFFFFF"/>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（1）投标文件中的投标函未加盖投标人的公章；</w:t>
      </w:r>
    </w:p>
    <w:p w14:paraId="304FD7B4">
      <w:pPr>
        <w:pageBreakBefore w:val="0"/>
        <w:widowControl w:val="0"/>
        <w:shd w:val="clear" w:color="auto" w:fill="FFFFFF"/>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（2）投标文件中的投标函无企业法定代表人（或企业法定代表人委托代理人）印章（或签</w:t>
      </w:r>
      <w:r>
        <w:rPr>
          <w:rFonts w:hint="eastAsia"/>
          <w:color w:val="000000" w:themeColor="text1"/>
          <w:szCs w:val="21"/>
          <w14:textFill>
            <w14:solidFill>
              <w14:schemeClr w14:val="tx1"/>
            </w14:solidFill>
          </w14:textFill>
        </w:rPr>
        <w:t>名</w:t>
      </w:r>
      <w:r>
        <w:rPr>
          <w:color w:val="000000" w:themeColor="text1"/>
          <w:szCs w:val="21"/>
          <w14:textFill>
            <w14:solidFill>
              <w14:schemeClr w14:val="tx1"/>
            </w14:solidFill>
          </w14:textFill>
        </w:rPr>
        <w:t>）的；</w:t>
      </w:r>
    </w:p>
    <w:p w14:paraId="0212F248">
      <w:pPr>
        <w:pageBreakBefore w:val="0"/>
        <w:widowControl w:val="0"/>
        <w:shd w:val="clear" w:color="auto" w:fill="FFFFFF"/>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（3）如投标函由企业法定代表人委托代理人加盖印章（或签</w:t>
      </w:r>
      <w:r>
        <w:rPr>
          <w:rFonts w:hint="eastAsia"/>
          <w:color w:val="000000" w:themeColor="text1"/>
          <w:szCs w:val="21"/>
          <w14:textFill>
            <w14:solidFill>
              <w14:schemeClr w14:val="tx1"/>
            </w14:solidFill>
          </w14:textFill>
        </w:rPr>
        <w:t>名</w:t>
      </w:r>
      <w:r>
        <w:rPr>
          <w:color w:val="000000" w:themeColor="text1"/>
          <w:szCs w:val="21"/>
          <w14:textFill>
            <w14:solidFill>
              <w14:schemeClr w14:val="tx1"/>
            </w14:solidFill>
          </w14:textFill>
        </w:rPr>
        <w:t>）的，企业法定代表人委托代理人没有合法、有效的委托书</w:t>
      </w:r>
      <w:r>
        <w:rPr>
          <w:b/>
          <w:color w:val="000000" w:themeColor="text1"/>
          <w:szCs w:val="21"/>
          <w14:textFill>
            <w14:solidFill>
              <w14:schemeClr w14:val="tx1"/>
            </w14:solidFill>
          </w14:textFill>
        </w:rPr>
        <w:t>（原件</w:t>
      </w:r>
      <w:r>
        <w:rPr>
          <w:rFonts w:hint="eastAsia"/>
          <w:b/>
          <w:color w:val="000000" w:themeColor="text1"/>
          <w:szCs w:val="21"/>
          <w14:textFill>
            <w14:solidFill>
              <w14:schemeClr w14:val="tx1"/>
            </w14:solidFill>
          </w14:textFill>
        </w:rPr>
        <w:t>的彩色扫描件</w:t>
      </w:r>
      <w:r>
        <w:rPr>
          <w:b/>
          <w:color w:val="000000" w:themeColor="text1"/>
          <w:szCs w:val="21"/>
          <w14:textFill>
            <w14:solidFill>
              <w14:schemeClr w14:val="tx1"/>
            </w14:solidFill>
          </w14:textFill>
        </w:rPr>
        <w:t>）</w:t>
      </w:r>
      <w:r>
        <w:rPr>
          <w:color w:val="000000" w:themeColor="text1"/>
          <w:szCs w:val="21"/>
          <w14:textFill>
            <w14:solidFill>
              <w14:schemeClr w14:val="tx1"/>
            </w14:solidFill>
          </w14:textFill>
        </w:rPr>
        <w:t>的；</w:t>
      </w:r>
    </w:p>
    <w:p w14:paraId="2BE55820">
      <w:pPr>
        <w:pageBreakBefore w:val="0"/>
        <w:widowControl w:val="0"/>
        <w:shd w:val="clear" w:color="auto" w:fill="FFFFFF"/>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（4）投标人资格条件不符合国家有关规定或招标文件要求的； </w:t>
      </w:r>
    </w:p>
    <w:p w14:paraId="18727E4D">
      <w:pPr>
        <w:pageBreakBefore w:val="0"/>
        <w:widowControl w:val="0"/>
        <w:shd w:val="clear" w:color="auto" w:fill="FFFFFF"/>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 xml:space="preserve">）投标报价高于招标文件设定的最高投标限价的； </w:t>
      </w:r>
    </w:p>
    <w:p w14:paraId="7B63FCB4">
      <w:pPr>
        <w:pageBreakBefore w:val="0"/>
        <w:widowControl w:val="0"/>
        <w:shd w:val="clear" w:color="auto" w:fill="FFFFFF"/>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）投标文件的组成不符合招标文件要求的；</w:t>
      </w:r>
    </w:p>
    <w:p w14:paraId="45E27017">
      <w:pPr>
        <w:pageBreakBefore w:val="0"/>
        <w:widowControl w:val="0"/>
        <w:shd w:val="clear" w:color="auto" w:fill="FFFFFF"/>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）投标人递交两份或多份内容不同的投标文件，或在一份投标文件中对同一招标货物报有两个或多个报价，且未声明哪一个为最终报价的，按招标文件规定提交备选投标方案的除外；</w:t>
      </w:r>
    </w:p>
    <w:p w14:paraId="1AF2EF02">
      <w:pPr>
        <w:pageBreakBefore w:val="0"/>
        <w:widowControl w:val="0"/>
        <w:shd w:val="clear" w:color="auto" w:fill="FFFFFF"/>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）投标文件载明的招标项目</w:t>
      </w:r>
      <w:r>
        <w:rPr>
          <w:rFonts w:hint="eastAsia"/>
          <w:color w:val="000000" w:themeColor="text1"/>
          <w:szCs w:val="21"/>
          <w14:textFill>
            <w14:solidFill>
              <w14:schemeClr w14:val="tx1"/>
            </w14:solidFill>
          </w14:textFill>
        </w:rPr>
        <w:t>合同履行期限（服务期）</w:t>
      </w:r>
      <w:r>
        <w:rPr>
          <w:color w:val="000000" w:themeColor="text1"/>
          <w:szCs w:val="21"/>
          <w14:textFill>
            <w14:solidFill>
              <w14:schemeClr w14:val="tx1"/>
            </w14:solidFill>
          </w14:textFill>
        </w:rPr>
        <w:t>超过招标文件规定的期限的，或</w:t>
      </w:r>
      <w:r>
        <w:rPr>
          <w:rFonts w:hint="eastAsia"/>
          <w:color w:val="000000" w:themeColor="text1"/>
          <w:szCs w:val="21"/>
          <w14:textFill>
            <w14:solidFill>
              <w14:schemeClr w14:val="tx1"/>
            </w14:solidFill>
          </w14:textFill>
        </w:rPr>
        <w:t>服务期限</w:t>
      </w:r>
      <w:r>
        <w:rPr>
          <w:color w:val="000000" w:themeColor="text1"/>
          <w:szCs w:val="21"/>
          <w14:textFill>
            <w14:solidFill>
              <w14:schemeClr w14:val="tx1"/>
            </w14:solidFill>
          </w14:textFill>
        </w:rPr>
        <w:t xml:space="preserve">达不到招标文件规定期限的要求； </w:t>
      </w:r>
    </w:p>
    <w:p w14:paraId="74C7F298">
      <w:pPr>
        <w:pageBreakBefore w:val="0"/>
        <w:widowControl w:val="0"/>
        <w:shd w:val="clear" w:color="auto" w:fill="FFFFFF"/>
        <w:kinsoku/>
        <w:wordWrap/>
        <w:overflowPunct/>
        <w:topLinePunct w:val="0"/>
        <w:bidi w:val="0"/>
        <w:snapToGrid/>
        <w:spacing w:line="460" w:lineRule="exact"/>
        <w:ind w:firstLine="420" w:firstLineChars="200"/>
        <w:jc w:val="left"/>
        <w:textAlignment w:val="auto"/>
        <w:rPr>
          <w:color w:val="000000" w:themeColor="text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与招标文件规定的暂估价、暂列金额及甲供材料价格不一致的；</w:t>
      </w:r>
    </w:p>
    <w:p w14:paraId="35B2AD60">
      <w:pPr>
        <w:pageBreakBefore w:val="0"/>
        <w:widowControl w:val="0"/>
        <w:shd w:val="clear" w:color="auto" w:fill="FFFFFF"/>
        <w:kinsoku/>
        <w:wordWrap/>
        <w:overflowPunct/>
        <w:topLinePunct w:val="0"/>
        <w:bidi w:val="0"/>
        <w:snapToGrid/>
        <w:spacing w:line="460" w:lineRule="exact"/>
        <w:ind w:firstLine="420" w:firstLineChars="200"/>
        <w:jc w:val="left"/>
        <w:textAlignment w:val="auto"/>
        <w:rPr>
          <w:color w:val="000000" w:themeColor="text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10</w:t>
      </w:r>
      <w:r>
        <w:rPr>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 xml:space="preserve">与招标文件明确列出的不可竞争费用项目或费率不一致的； </w:t>
      </w:r>
    </w:p>
    <w:p w14:paraId="22B214F8">
      <w:pPr>
        <w:pageBreakBefore w:val="0"/>
        <w:widowControl w:val="0"/>
        <w:shd w:val="clear" w:color="auto" w:fill="FFFFFF"/>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11</w:t>
      </w:r>
      <w:r>
        <w:rPr>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与招标文件提供的采购清单中的项目名称、项目特征描述、计量单位、工程量不一致的；</w:t>
      </w:r>
    </w:p>
    <w:p w14:paraId="24DB2073">
      <w:pPr>
        <w:pageBreakBefore w:val="0"/>
        <w:widowControl w:val="0"/>
        <w:shd w:val="clear" w:color="auto" w:fill="FFFFFF"/>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12</w:t>
      </w:r>
      <w:r>
        <w:rPr>
          <w:color w:val="000000" w:themeColor="text1"/>
          <w:szCs w:val="21"/>
          <w14:textFill>
            <w14:solidFill>
              <w14:schemeClr w14:val="tx1"/>
            </w14:solidFill>
          </w14:textFill>
        </w:rPr>
        <w:t xml:space="preserve">）明显不符合技术规范、技术标准的要求的； </w:t>
      </w:r>
    </w:p>
    <w:p w14:paraId="057891A8">
      <w:pPr>
        <w:pageBreakBefore w:val="0"/>
        <w:widowControl w:val="0"/>
        <w:shd w:val="clear" w:color="auto" w:fill="FFFFFF"/>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 xml:space="preserve">）投标文件载明的检验标准和方法等不符合招标文件的要求的； </w:t>
      </w:r>
    </w:p>
    <w:p w14:paraId="7D787E25">
      <w:pPr>
        <w:pageBreakBefore w:val="0"/>
        <w:widowControl w:val="0"/>
        <w:shd w:val="clear" w:color="auto" w:fill="FFFFFF"/>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14</w:t>
      </w:r>
      <w:r>
        <w:rPr>
          <w:color w:val="000000" w:themeColor="text1"/>
          <w:szCs w:val="21"/>
          <w14:textFill>
            <w14:solidFill>
              <w14:schemeClr w14:val="tx1"/>
            </w14:solidFill>
          </w14:textFill>
        </w:rPr>
        <w:t>）投标文件提出的工程验收、计量、价款结算和付款方式不能满足招标文件要求或招标人不能接受；</w:t>
      </w:r>
    </w:p>
    <w:p w14:paraId="128C406A">
      <w:pPr>
        <w:pageBreakBefore w:val="0"/>
        <w:widowControl w:val="0"/>
        <w:shd w:val="clear" w:color="auto" w:fill="FFFFFF"/>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 xml:space="preserve">）不同投标人的投标文件出现了评标委员会认为不应当雷同的情况的； </w:t>
      </w:r>
    </w:p>
    <w:p w14:paraId="298FD66F">
      <w:pPr>
        <w:pageBreakBefore w:val="0"/>
        <w:widowControl w:val="0"/>
        <w:shd w:val="clear" w:color="auto" w:fill="FFFFFF"/>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）以他人的名义投标、串通投标、以行贿手段谋取中标或者以其他弄虚作假方式投标的；</w:t>
      </w:r>
    </w:p>
    <w:p w14:paraId="0E223572">
      <w:pPr>
        <w:pageBreakBefore w:val="0"/>
        <w:widowControl w:val="0"/>
        <w:kinsoku/>
        <w:wordWrap/>
        <w:overflowPunct/>
        <w:topLinePunct w:val="0"/>
        <w:bidi w:val="0"/>
        <w:snapToGrid/>
        <w:spacing w:line="460" w:lineRule="exact"/>
        <w:ind w:firstLine="422" w:firstLineChars="200"/>
        <w:jc w:val="left"/>
        <w:textAlignment w:val="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（1</w:t>
      </w:r>
      <w:r>
        <w:rPr>
          <w:rFonts w:hint="eastAsia"/>
          <w:b/>
          <w:bCs/>
          <w:color w:val="000000" w:themeColor="text1"/>
          <w:szCs w:val="21"/>
          <w14:textFill>
            <w14:solidFill>
              <w14:schemeClr w14:val="tx1"/>
            </w14:solidFill>
          </w14:textFill>
        </w:rPr>
        <w:t>7</w:t>
      </w:r>
      <w:r>
        <w:rPr>
          <w:b/>
          <w:bCs/>
          <w:color w:val="000000" w:themeColor="text1"/>
          <w:szCs w:val="21"/>
          <w14:textFill>
            <w14:solidFill>
              <w14:schemeClr w14:val="tx1"/>
            </w14:solidFill>
          </w14:textFill>
        </w:rPr>
        <w:t>）投标人投标文件中提供的资格审查资料非有效原件彩色扫描件（或电子证照），关键信息不齐全、不清晰可辨(钢印除外)；</w:t>
      </w:r>
    </w:p>
    <w:p w14:paraId="51691714">
      <w:pPr>
        <w:pageBreakBefore w:val="0"/>
        <w:widowControl w:val="0"/>
        <w:kinsoku/>
        <w:wordWrap/>
        <w:overflowPunct/>
        <w:topLinePunct w:val="0"/>
        <w:bidi w:val="0"/>
        <w:snapToGrid/>
        <w:spacing w:line="460" w:lineRule="exact"/>
        <w:ind w:firstLine="422" w:firstLineChars="200"/>
        <w:jc w:val="left"/>
        <w:textAlignment w:val="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（1</w:t>
      </w:r>
      <w:r>
        <w:rPr>
          <w:rFonts w:hint="eastAsia"/>
          <w:b/>
          <w:bCs/>
          <w:color w:val="000000" w:themeColor="text1"/>
          <w:szCs w:val="21"/>
          <w14:textFill>
            <w14:solidFill>
              <w14:schemeClr w14:val="tx1"/>
            </w14:solidFill>
          </w14:textFill>
        </w:rPr>
        <w:t>8</w:t>
      </w:r>
      <w:r>
        <w:rPr>
          <w:b/>
          <w:bCs/>
          <w:color w:val="000000" w:themeColor="text1"/>
          <w:szCs w:val="21"/>
          <w14:textFill>
            <w14:solidFill>
              <w14:schemeClr w14:val="tx1"/>
            </w14:solidFill>
          </w14:textFill>
        </w:rPr>
        <w:t>）电子投标文件未能解密或超时解密的。因招投标系统故障因素导致所有投标电子投标文件均不能解密的除外。</w:t>
      </w:r>
    </w:p>
    <w:p w14:paraId="47A72ABD">
      <w:pPr>
        <w:pageBreakBefore w:val="0"/>
        <w:widowControl w:val="0"/>
        <w:kinsoku/>
        <w:wordWrap/>
        <w:overflowPunct/>
        <w:topLinePunct w:val="0"/>
        <w:bidi w:val="0"/>
        <w:snapToGrid/>
        <w:spacing w:line="460" w:lineRule="exact"/>
        <w:ind w:firstLine="422" w:firstLineChars="200"/>
        <w:jc w:val="left"/>
        <w:textAlignment w:val="auto"/>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凡招标文件未明确的无效标条件，评标委员会不得作为判定无效标的依据，评标委员会也不得以不符合招标文件中规定的其他实质性要求作为判定无效标的依据。</w:t>
      </w:r>
    </w:p>
    <w:p w14:paraId="731F71A5">
      <w:pPr>
        <w:pStyle w:val="5"/>
        <w:pageBreakBefore w:val="0"/>
        <w:widowControl w:val="0"/>
        <w:kinsoku/>
        <w:wordWrap/>
        <w:overflowPunct/>
        <w:topLinePunct w:val="0"/>
        <w:bidi w:val="0"/>
        <w:snapToGrid/>
        <w:spacing w:before="0" w:after="0" w:line="460" w:lineRule="exact"/>
        <w:ind w:firstLine="420" w:firstLineChars="200"/>
        <w:jc w:val="left"/>
        <w:textAlignment w:val="auto"/>
        <w:rPr>
          <w:rFonts w:hAnsi="Times New Roman" w:eastAsia="宋体"/>
          <w:color w:val="000000" w:themeColor="text1"/>
          <w:sz w:val="21"/>
          <w:szCs w:val="21"/>
          <w14:textFill>
            <w14:solidFill>
              <w14:schemeClr w14:val="tx1"/>
            </w14:solidFill>
          </w14:textFill>
        </w:rPr>
      </w:pPr>
      <w:bookmarkStart w:id="278" w:name="_Toc508216916"/>
      <w:r>
        <w:rPr>
          <w:rFonts w:hAnsi="Times New Roman" w:eastAsia="宋体"/>
          <w:color w:val="000000" w:themeColor="text1"/>
          <w:sz w:val="21"/>
          <w:szCs w:val="21"/>
          <w14:textFill>
            <w14:solidFill>
              <w14:schemeClr w14:val="tx1"/>
            </w14:solidFill>
          </w14:textFill>
        </w:rPr>
        <w:t>6.6重新招标</w:t>
      </w:r>
      <w:bookmarkEnd w:id="278"/>
    </w:p>
    <w:p w14:paraId="1857B0BE">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依法必须进行招标的项目，提交投标文件的投标人少于三个的，招标人在分析招标失败的原因并采取相应措施后，应当依法重新招标。重新招标后投标人仍少于三个的，按国家有关规定需要履行审批、核准手续的依法必须进行招标的项目，报项目审批、核准部门审批、核准后可以不再进行招标。</w:t>
      </w:r>
    </w:p>
    <w:p w14:paraId="77242EC7">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依法必须招标的项目评标委员会否决所有投标的，或者评标委员会否决一部分投标后其他有效投标不足三个使得投标明显缺乏竞争，决定否决全部投标的，招标人在分析招标失败的原因并采取相应措施后，应当依法重新招标。</w:t>
      </w:r>
    </w:p>
    <w:p w14:paraId="42238C9E">
      <w:pPr>
        <w:pStyle w:val="163"/>
        <w:pageBreakBefore w:val="0"/>
        <w:widowControl w:val="0"/>
        <w:kinsoku/>
        <w:wordWrap/>
        <w:overflowPunct/>
        <w:topLinePunct w:val="0"/>
        <w:bidi w:val="0"/>
        <w:snapToGrid/>
        <w:spacing w:before="0" w:after="0" w:line="460" w:lineRule="exact"/>
        <w:ind w:firstLine="422" w:firstLineChars="200"/>
        <w:jc w:val="left"/>
        <w:textAlignment w:val="auto"/>
        <w:rPr>
          <w:rFonts w:ascii="Times New Roman" w:hAnsi="Times New Roman" w:cs="Times New Roman"/>
          <w:color w:val="000000" w:themeColor="text1"/>
          <w:sz w:val="21"/>
          <w:szCs w:val="21"/>
          <w14:textFill>
            <w14:solidFill>
              <w14:schemeClr w14:val="tx1"/>
            </w14:solidFill>
          </w14:textFill>
        </w:rPr>
      </w:pPr>
      <w:bookmarkStart w:id="279" w:name="_Toc387526317"/>
      <w:bookmarkStart w:id="280" w:name="_Toc22985"/>
      <w:bookmarkStart w:id="281" w:name="_Toc387526213"/>
      <w:bookmarkStart w:id="282" w:name="_Toc387526409"/>
      <w:bookmarkStart w:id="283" w:name="_Toc508216917"/>
      <w:bookmarkStart w:id="284" w:name="_Toc397928586"/>
      <w:bookmarkStart w:id="285" w:name="_Toc368760433"/>
      <w:bookmarkStart w:id="286" w:name="_Toc369077567"/>
      <w:r>
        <w:rPr>
          <w:rFonts w:ascii="Times New Roman" w:hAnsi="Times New Roman" w:cs="Times New Roman"/>
          <w:color w:val="000000" w:themeColor="text1"/>
          <w:sz w:val="21"/>
          <w:szCs w:val="21"/>
          <w14:textFill>
            <w14:solidFill>
              <w14:schemeClr w14:val="tx1"/>
            </w14:solidFill>
          </w14:textFill>
        </w:rPr>
        <w:t>7.评标结果公示</w:t>
      </w:r>
      <w:bookmarkEnd w:id="279"/>
      <w:bookmarkEnd w:id="280"/>
      <w:bookmarkEnd w:id="281"/>
      <w:bookmarkEnd w:id="282"/>
      <w:bookmarkEnd w:id="283"/>
      <w:bookmarkEnd w:id="284"/>
    </w:p>
    <w:p w14:paraId="68D65AD8">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7.1</w:t>
      </w:r>
      <w:r>
        <w:rPr>
          <w:rFonts w:hint="eastAsia"/>
          <w:color w:val="000000" w:themeColor="text1"/>
          <w:szCs w:val="21"/>
          <w14:textFill>
            <w14:solidFill>
              <w14:schemeClr w14:val="tx1"/>
            </w14:solidFill>
          </w14:textFill>
        </w:rPr>
        <w:t>招标人在收到评标报告后在与招标公告相同的发布媒介上对评标结果进行公示，公示期不少于3日。</w:t>
      </w:r>
    </w:p>
    <w:p w14:paraId="0267FB52">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7.2 投标人或者其他利害关系人对评标结果有异议的，应当在评标结果公示期间向招标人提出异议。招标人自收到异议之日起3日内作出答复，并在作出答复前暂停招标投标活动。</w:t>
      </w:r>
    </w:p>
    <w:p w14:paraId="6A212D03">
      <w:pPr>
        <w:pStyle w:val="163"/>
        <w:pageBreakBefore w:val="0"/>
        <w:widowControl w:val="0"/>
        <w:kinsoku/>
        <w:wordWrap/>
        <w:overflowPunct/>
        <w:topLinePunct w:val="0"/>
        <w:bidi w:val="0"/>
        <w:snapToGrid/>
        <w:spacing w:before="0" w:after="0" w:line="460" w:lineRule="exact"/>
        <w:ind w:firstLine="422" w:firstLineChars="200"/>
        <w:jc w:val="left"/>
        <w:textAlignment w:val="auto"/>
        <w:rPr>
          <w:rFonts w:ascii="Times New Roman" w:hAnsi="Times New Roman" w:cs="Times New Roman"/>
          <w:color w:val="000000" w:themeColor="text1"/>
          <w:sz w:val="21"/>
          <w:szCs w:val="21"/>
          <w14:textFill>
            <w14:solidFill>
              <w14:schemeClr w14:val="tx1"/>
            </w14:solidFill>
          </w14:textFill>
        </w:rPr>
      </w:pPr>
      <w:bookmarkStart w:id="287" w:name="_Toc15824"/>
      <w:bookmarkStart w:id="288" w:name="_Toc387526214"/>
      <w:bookmarkStart w:id="289" w:name="_Toc508216918"/>
      <w:bookmarkStart w:id="290" w:name="_Toc397928587"/>
      <w:bookmarkStart w:id="291" w:name="_Toc387526410"/>
      <w:bookmarkStart w:id="292" w:name="_Toc387526318"/>
      <w:r>
        <w:rPr>
          <w:rFonts w:ascii="Times New Roman" w:hAnsi="Times New Roman" w:cs="Times New Roman"/>
          <w:color w:val="000000" w:themeColor="text1"/>
          <w:sz w:val="21"/>
          <w:szCs w:val="21"/>
          <w14:textFill>
            <w14:solidFill>
              <w14:schemeClr w14:val="tx1"/>
            </w14:solidFill>
          </w14:textFill>
        </w:rPr>
        <w:t>8.合同授予</w:t>
      </w:r>
      <w:bookmarkEnd w:id="228"/>
      <w:bookmarkEnd w:id="229"/>
      <w:bookmarkEnd w:id="230"/>
      <w:bookmarkEnd w:id="231"/>
      <w:bookmarkEnd w:id="232"/>
      <w:bookmarkEnd w:id="233"/>
      <w:bookmarkEnd w:id="234"/>
      <w:bookmarkEnd w:id="235"/>
      <w:bookmarkEnd w:id="236"/>
      <w:bookmarkEnd w:id="285"/>
      <w:bookmarkEnd w:id="286"/>
      <w:bookmarkEnd w:id="287"/>
      <w:bookmarkEnd w:id="288"/>
      <w:bookmarkEnd w:id="289"/>
      <w:bookmarkEnd w:id="290"/>
      <w:bookmarkEnd w:id="291"/>
      <w:bookmarkEnd w:id="292"/>
    </w:p>
    <w:p w14:paraId="15C8BD16">
      <w:pPr>
        <w:pStyle w:val="5"/>
        <w:pageBreakBefore w:val="0"/>
        <w:widowControl w:val="0"/>
        <w:kinsoku/>
        <w:wordWrap/>
        <w:overflowPunct/>
        <w:topLinePunct w:val="0"/>
        <w:bidi w:val="0"/>
        <w:snapToGrid/>
        <w:spacing w:before="0" w:after="0" w:line="460" w:lineRule="exact"/>
        <w:ind w:firstLine="420" w:firstLineChars="200"/>
        <w:jc w:val="left"/>
        <w:textAlignment w:val="auto"/>
        <w:rPr>
          <w:rFonts w:hAnsi="Times New Roman" w:eastAsia="宋体"/>
          <w:color w:val="000000" w:themeColor="text1"/>
          <w:sz w:val="21"/>
          <w:szCs w:val="21"/>
          <w14:textFill>
            <w14:solidFill>
              <w14:schemeClr w14:val="tx1"/>
            </w14:solidFill>
          </w14:textFill>
        </w:rPr>
      </w:pPr>
      <w:bookmarkStart w:id="293" w:name="_Toc144974535"/>
      <w:bookmarkStart w:id="294" w:name="_Toc366679698"/>
      <w:bookmarkStart w:id="295" w:name="_Toc246996211"/>
      <w:bookmarkStart w:id="296" w:name="_Toc508216919"/>
      <w:bookmarkStart w:id="297" w:name="_Toc387526319"/>
      <w:bookmarkStart w:id="298" w:name="_Toc397928588"/>
      <w:bookmarkStart w:id="299" w:name="_Toc247085725"/>
      <w:bookmarkStart w:id="300" w:name="_Toc152045567"/>
      <w:bookmarkStart w:id="301" w:name="_Toc387526411"/>
      <w:bookmarkStart w:id="302" w:name="_Toc246996954"/>
      <w:bookmarkStart w:id="303" w:name="_Toc152042343"/>
      <w:bookmarkStart w:id="304" w:name="_Toc5192"/>
      <w:bookmarkStart w:id="305" w:name="_Toc179632585"/>
      <w:bookmarkStart w:id="306" w:name="_Toc387526215"/>
      <w:r>
        <w:rPr>
          <w:rFonts w:hAnsi="Times New Roman" w:eastAsia="宋体"/>
          <w:color w:val="000000" w:themeColor="text1"/>
          <w:sz w:val="21"/>
          <w:szCs w:val="21"/>
          <w14:textFill>
            <w14:solidFill>
              <w14:schemeClr w14:val="tx1"/>
            </w14:solidFill>
          </w14:textFill>
        </w:rPr>
        <w:t>8.1 定标方式</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510ABC2C">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bookmarkStart w:id="307" w:name="_Toc387526216"/>
      <w:bookmarkStart w:id="308" w:name="_Toc387526412"/>
      <w:bookmarkStart w:id="309" w:name="_Toc387526320"/>
      <w:bookmarkStart w:id="310" w:name="_Toc29357"/>
      <w:r>
        <w:rPr>
          <w:color w:val="000000" w:themeColor="text1"/>
          <w:szCs w:val="21"/>
          <w14:textFill>
            <w14:solidFill>
              <w14:schemeClr w14:val="tx1"/>
            </w14:solidFill>
          </w14:textFill>
        </w:rPr>
        <w:t>除投标人须知前附表规定评标委员会直接确定中标人外，招标人依据评标委员会推荐的中标候选人确定中标人。</w:t>
      </w:r>
    </w:p>
    <w:p w14:paraId="23E1D341">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bookmarkEnd w:id="307"/>
    <w:bookmarkEnd w:id="308"/>
    <w:bookmarkEnd w:id="309"/>
    <w:bookmarkEnd w:id="310"/>
    <w:p w14:paraId="29723457">
      <w:pPr>
        <w:pStyle w:val="5"/>
        <w:pageBreakBefore w:val="0"/>
        <w:widowControl w:val="0"/>
        <w:kinsoku/>
        <w:wordWrap/>
        <w:overflowPunct/>
        <w:topLinePunct w:val="0"/>
        <w:bidi w:val="0"/>
        <w:snapToGrid/>
        <w:spacing w:before="0" w:after="0" w:line="460" w:lineRule="exact"/>
        <w:ind w:firstLine="420" w:firstLineChars="200"/>
        <w:jc w:val="left"/>
        <w:textAlignment w:val="auto"/>
        <w:rPr>
          <w:rFonts w:hAnsi="Times New Roman" w:eastAsia="宋体"/>
          <w:color w:val="000000" w:themeColor="text1"/>
          <w:sz w:val="21"/>
          <w:szCs w:val="21"/>
          <w14:textFill>
            <w14:solidFill>
              <w14:schemeClr w14:val="tx1"/>
            </w14:solidFill>
          </w14:textFill>
        </w:rPr>
      </w:pPr>
      <w:bookmarkStart w:id="311" w:name="_Toc246996956"/>
      <w:bookmarkStart w:id="312" w:name="_Toc508216921"/>
      <w:bookmarkStart w:id="313" w:name="_Toc247085727"/>
      <w:bookmarkStart w:id="314" w:name="_Toc397928590"/>
      <w:bookmarkStart w:id="315" w:name="_Toc246996213"/>
      <w:bookmarkStart w:id="316" w:name="_Toc179632587"/>
      <w:bookmarkStart w:id="317" w:name="_Toc366679701"/>
      <w:bookmarkStart w:id="318" w:name="_Toc387526322"/>
      <w:bookmarkStart w:id="319" w:name="_Toc387526218"/>
      <w:bookmarkStart w:id="320" w:name="_Toc387526414"/>
      <w:bookmarkStart w:id="321" w:name="_Toc26386"/>
      <w:r>
        <w:rPr>
          <w:rFonts w:hAnsi="Times New Roman" w:eastAsia="宋体"/>
          <w:color w:val="000000" w:themeColor="text1"/>
          <w:sz w:val="21"/>
          <w:szCs w:val="21"/>
          <w14:textFill>
            <w14:solidFill>
              <w14:schemeClr w14:val="tx1"/>
            </w14:solidFill>
          </w14:textFill>
        </w:rPr>
        <w:t>8.</w:t>
      </w:r>
      <w:r>
        <w:rPr>
          <w:rFonts w:hint="eastAsia" w:hAnsi="Times New Roman" w:eastAsia="宋体"/>
          <w:color w:val="000000" w:themeColor="text1"/>
          <w:sz w:val="21"/>
          <w:szCs w:val="21"/>
          <w14:textFill>
            <w14:solidFill>
              <w14:schemeClr w14:val="tx1"/>
            </w14:solidFill>
          </w14:textFill>
        </w:rPr>
        <w:t>2</w:t>
      </w:r>
      <w:r>
        <w:rPr>
          <w:rFonts w:hAnsi="Times New Roman" w:eastAsia="宋体"/>
          <w:color w:val="000000" w:themeColor="text1"/>
          <w:sz w:val="21"/>
          <w:szCs w:val="21"/>
          <w14:textFill>
            <w14:solidFill>
              <w14:schemeClr w14:val="tx1"/>
            </w14:solidFill>
          </w14:textFill>
        </w:rPr>
        <w:t>履约保证金</w:t>
      </w:r>
      <w:bookmarkEnd w:id="311"/>
      <w:bookmarkEnd w:id="312"/>
      <w:bookmarkEnd w:id="313"/>
      <w:bookmarkEnd w:id="314"/>
      <w:bookmarkEnd w:id="315"/>
      <w:bookmarkEnd w:id="316"/>
      <w:bookmarkEnd w:id="317"/>
      <w:bookmarkEnd w:id="318"/>
      <w:bookmarkEnd w:id="319"/>
      <w:bookmarkEnd w:id="320"/>
      <w:bookmarkEnd w:id="321"/>
    </w:p>
    <w:p w14:paraId="1D4EAB46">
      <w:pPr>
        <w:pageBreakBefore w:val="0"/>
        <w:widowControl w:val="0"/>
        <w:kinsoku/>
        <w:wordWrap/>
        <w:overflowPunct/>
        <w:topLinePunct w:val="0"/>
        <w:bidi w:val="0"/>
        <w:snapToGrid/>
        <w:spacing w:line="460" w:lineRule="exact"/>
        <w:ind w:firstLine="420" w:firstLineChars="200"/>
        <w:textAlignment w:val="auto"/>
        <w:rPr>
          <w:rFonts w:ascii="宋体"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8.</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本项目招标人要求投标人在领取中标通知书后的3个工作日内、在合同签订前以银行转账或履约担保或投标人基本账户开户行出具的银行保函或保险公司保单（采用银行保函、保险公司保险单时，中标人应保证保函、保险单等有效，出具保函、保单所需的费用由中标人承担）的方式向招标人提交履约保证金，投标人未能在规定期限内提交履约保证金的，招标人可以另行选择中标单位。</w:t>
      </w:r>
    </w:p>
    <w:p w14:paraId="6E0D62B6">
      <w:pPr>
        <w:pageBreakBefore w:val="0"/>
        <w:widowControl w:val="0"/>
        <w:kinsoku/>
        <w:wordWrap/>
        <w:overflowPunct/>
        <w:topLinePunct w:val="0"/>
        <w:bidi w:val="0"/>
        <w:snapToGrid/>
        <w:spacing w:line="460" w:lineRule="exact"/>
        <w:ind w:firstLine="420" w:firstLineChars="200"/>
        <w:jc w:val="left"/>
        <w:textAlignment w:val="auto"/>
        <w:rPr>
          <w:rFonts w:hint="default" w:eastAsia="宋体"/>
          <w:color w:val="000000" w:themeColor="text1"/>
          <w:szCs w:val="21"/>
          <w:highlight w:val="none"/>
          <w:lang w:val="en-US" w:eastAsia="zh-CN"/>
          <w14:textFill>
            <w14:solidFill>
              <w14:schemeClr w14:val="tx1"/>
            </w14:solidFill>
          </w14:textFill>
        </w:rPr>
      </w:pPr>
      <w:r>
        <w:rPr>
          <w:rFonts w:ascii="宋体" w:hAnsi="宋体"/>
          <w:bCs/>
          <w:color w:val="000000" w:themeColor="text1"/>
          <w:szCs w:val="21"/>
          <w:highlight w:val="none"/>
          <w14:textFill>
            <w14:solidFill>
              <w14:schemeClr w14:val="tx1"/>
            </w14:solidFill>
          </w14:textFill>
        </w:rPr>
        <w:t>履约保证金的金额：中标价的</w:t>
      </w:r>
      <w:r>
        <w:rPr>
          <w:rFonts w:hint="eastAsia" w:ascii="宋体" w:hAnsi="宋体"/>
          <w:bCs/>
          <w:color w:val="000000" w:themeColor="text1"/>
          <w:szCs w:val="21"/>
          <w:highlight w:val="none"/>
          <w14:textFill>
            <w14:solidFill>
              <w14:schemeClr w14:val="tx1"/>
            </w14:solidFill>
          </w14:textFill>
        </w:rPr>
        <w:t>10%</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合同签订前缴纳至</w:t>
      </w:r>
      <w:r>
        <w:rPr>
          <w:rFonts w:hint="eastAsia" w:ascii="宋体" w:hAnsi="宋体"/>
          <w:bCs/>
          <w:color w:val="000000" w:themeColor="text1"/>
          <w:szCs w:val="21"/>
          <w:highlight w:val="none"/>
          <w:lang w:val="en-US" w:eastAsia="zh-CN"/>
          <w14:textFill>
            <w14:solidFill>
              <w14:schemeClr w14:val="tx1"/>
            </w14:solidFill>
          </w14:textFill>
        </w:rPr>
        <w:t>采购人</w:t>
      </w:r>
      <w:r>
        <w:rPr>
          <w:rFonts w:hint="eastAsia" w:ascii="宋体" w:hAnsi="宋体"/>
          <w:bCs/>
          <w:color w:val="000000" w:themeColor="text1"/>
          <w:szCs w:val="21"/>
          <w:highlight w:val="none"/>
          <w14:textFill>
            <w14:solidFill>
              <w14:schemeClr w14:val="tx1"/>
            </w14:solidFill>
          </w14:textFill>
        </w:rPr>
        <w:t>指定账户</w:t>
      </w:r>
      <w:r>
        <w:rPr>
          <w:rFonts w:hint="eastAsia" w:ascii="宋体" w:hAnsi="宋体"/>
          <w:bCs/>
          <w:color w:val="000000" w:themeColor="text1"/>
          <w:szCs w:val="21"/>
          <w:highlight w:val="none"/>
          <w:lang w:val="en-US" w:eastAsia="zh-CN"/>
          <w14:textFill>
            <w14:solidFill>
              <w14:schemeClr w14:val="tx1"/>
            </w14:solidFill>
          </w14:textFill>
        </w:rPr>
        <w:t>。</w:t>
      </w:r>
    </w:p>
    <w:p w14:paraId="1290C87F">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.2中标人不能按本章第8.</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.1项要求提交履约保证金的，视为放弃中标，给招标人造成的损失的，中标人还应当对损失予以赔偿。</w:t>
      </w:r>
    </w:p>
    <w:p w14:paraId="576864A9">
      <w:pPr>
        <w:pStyle w:val="5"/>
        <w:pageBreakBefore w:val="0"/>
        <w:widowControl w:val="0"/>
        <w:kinsoku/>
        <w:wordWrap/>
        <w:overflowPunct/>
        <w:topLinePunct w:val="0"/>
        <w:bidi w:val="0"/>
        <w:snapToGrid/>
        <w:spacing w:before="0" w:after="0" w:line="460" w:lineRule="exact"/>
        <w:ind w:firstLine="420" w:firstLineChars="200"/>
        <w:jc w:val="left"/>
        <w:textAlignment w:val="auto"/>
        <w:rPr>
          <w:rFonts w:hAnsi="Times New Roman" w:eastAsia="宋体"/>
          <w:color w:val="000000" w:themeColor="text1"/>
          <w:sz w:val="21"/>
          <w:szCs w:val="21"/>
          <w14:textFill>
            <w14:solidFill>
              <w14:schemeClr w14:val="tx1"/>
            </w14:solidFill>
          </w14:textFill>
        </w:rPr>
      </w:pPr>
      <w:bookmarkStart w:id="322" w:name="_Toc10565"/>
      <w:bookmarkStart w:id="323" w:name="_Toc508216922"/>
      <w:bookmarkStart w:id="324" w:name="_Toc387526219"/>
      <w:bookmarkStart w:id="325" w:name="_Toc179632588"/>
      <w:bookmarkStart w:id="326" w:name="_Toc366679702"/>
      <w:bookmarkStart w:id="327" w:name="_Toc246996214"/>
      <w:bookmarkStart w:id="328" w:name="_Toc247085728"/>
      <w:bookmarkStart w:id="329" w:name="_Toc397928591"/>
      <w:bookmarkStart w:id="330" w:name="_Toc246996957"/>
      <w:bookmarkStart w:id="331" w:name="_Toc387526415"/>
      <w:bookmarkStart w:id="332" w:name="_Toc387526323"/>
      <w:r>
        <w:rPr>
          <w:rFonts w:hAnsi="Times New Roman" w:eastAsia="宋体"/>
          <w:color w:val="000000" w:themeColor="text1"/>
          <w:sz w:val="21"/>
          <w:szCs w:val="21"/>
          <w14:textFill>
            <w14:solidFill>
              <w14:schemeClr w14:val="tx1"/>
            </w14:solidFill>
          </w14:textFill>
        </w:rPr>
        <w:t>8.</w:t>
      </w:r>
      <w:r>
        <w:rPr>
          <w:rFonts w:hint="eastAsia" w:hAnsi="Times New Roman" w:eastAsia="宋体"/>
          <w:color w:val="000000" w:themeColor="text1"/>
          <w:sz w:val="21"/>
          <w:szCs w:val="21"/>
          <w14:textFill>
            <w14:solidFill>
              <w14:schemeClr w14:val="tx1"/>
            </w14:solidFill>
          </w14:textFill>
        </w:rPr>
        <w:t>3</w:t>
      </w:r>
      <w:r>
        <w:rPr>
          <w:rFonts w:hAnsi="Times New Roman" w:eastAsia="宋体"/>
          <w:color w:val="000000" w:themeColor="text1"/>
          <w:sz w:val="21"/>
          <w:szCs w:val="21"/>
          <w14:textFill>
            <w14:solidFill>
              <w14:schemeClr w14:val="tx1"/>
            </w14:solidFill>
          </w14:textFill>
        </w:rPr>
        <w:t>签订合同</w:t>
      </w:r>
      <w:bookmarkEnd w:id="322"/>
      <w:bookmarkEnd w:id="323"/>
      <w:bookmarkEnd w:id="324"/>
      <w:bookmarkEnd w:id="325"/>
      <w:bookmarkEnd w:id="326"/>
      <w:bookmarkEnd w:id="327"/>
      <w:bookmarkEnd w:id="328"/>
      <w:bookmarkEnd w:id="329"/>
      <w:bookmarkEnd w:id="330"/>
      <w:bookmarkEnd w:id="331"/>
      <w:bookmarkEnd w:id="332"/>
    </w:p>
    <w:p w14:paraId="5AEA8DE5">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.1招标人和中标人应当自中标通知书发出之日起</w:t>
      </w:r>
      <w:r>
        <w:rPr>
          <w:rFonts w:hint="eastAsia"/>
          <w:color w:val="000000" w:themeColor="text1"/>
          <w:szCs w:val="21"/>
          <w14:textFill>
            <w14:solidFill>
              <w14:schemeClr w14:val="tx1"/>
            </w14:solidFill>
          </w14:textFill>
        </w:rPr>
        <w:t>30</w:t>
      </w:r>
      <w:r>
        <w:rPr>
          <w:color w:val="000000" w:themeColor="text1"/>
          <w:szCs w:val="21"/>
          <w14:textFill>
            <w14:solidFill>
              <w14:schemeClr w14:val="tx1"/>
            </w14:solidFill>
          </w14:textFill>
        </w:rPr>
        <w:t>日内，根据招标文件和中标人的投标文件订立书面合同。中标人无正当理由拒签合同的，招标人取消其中标资格；给招标人造成的损失的，中标人还应当对损失予以赔偿。</w:t>
      </w:r>
    </w:p>
    <w:bookmarkEnd w:id="216"/>
    <w:bookmarkEnd w:id="217"/>
    <w:bookmarkEnd w:id="218"/>
    <w:bookmarkEnd w:id="219"/>
    <w:p w14:paraId="7352769C">
      <w:pPr>
        <w:pStyle w:val="163"/>
        <w:pageBreakBefore w:val="0"/>
        <w:widowControl w:val="0"/>
        <w:kinsoku/>
        <w:wordWrap/>
        <w:overflowPunct/>
        <w:topLinePunct w:val="0"/>
        <w:bidi w:val="0"/>
        <w:snapToGrid/>
        <w:spacing w:before="0" w:after="0" w:line="460" w:lineRule="exact"/>
        <w:ind w:firstLine="422" w:firstLineChars="200"/>
        <w:jc w:val="left"/>
        <w:textAlignment w:val="auto"/>
        <w:rPr>
          <w:rFonts w:ascii="Times New Roman" w:hAnsi="Times New Roman" w:cs="Times New Roman"/>
          <w:color w:val="000000" w:themeColor="text1"/>
          <w:sz w:val="21"/>
          <w:szCs w:val="21"/>
          <w14:textFill>
            <w14:solidFill>
              <w14:schemeClr w14:val="tx1"/>
            </w14:solidFill>
          </w14:textFill>
        </w:rPr>
      </w:pPr>
      <w:bookmarkStart w:id="333" w:name="_Toc387526220"/>
      <w:bookmarkStart w:id="334" w:name="_Toc30717"/>
      <w:bookmarkStart w:id="335" w:name="_Toc368760435"/>
      <w:bookmarkStart w:id="336" w:name="_Toc368759383"/>
      <w:bookmarkStart w:id="337" w:name="_Toc363329380"/>
      <w:bookmarkStart w:id="338" w:name="_Toc397928592"/>
      <w:bookmarkStart w:id="339" w:name="_Toc369077569"/>
      <w:bookmarkStart w:id="340" w:name="_Toc322503149"/>
      <w:bookmarkStart w:id="341" w:name="_Toc508216923"/>
      <w:bookmarkStart w:id="342" w:name="_Toc387526416"/>
      <w:bookmarkStart w:id="343" w:name="_Toc367894807"/>
      <w:bookmarkStart w:id="344" w:name="_Toc387526324"/>
      <w:r>
        <w:rPr>
          <w:rFonts w:ascii="Times New Roman" w:hAnsi="Times New Roman" w:cs="Times New Roman"/>
          <w:color w:val="000000" w:themeColor="text1"/>
          <w:sz w:val="21"/>
          <w:szCs w:val="21"/>
          <w14:textFill>
            <w14:solidFill>
              <w14:schemeClr w14:val="tx1"/>
            </w14:solidFill>
          </w14:textFill>
        </w:rPr>
        <w:t>9.纪律和监督</w:t>
      </w:r>
      <w:bookmarkEnd w:id="333"/>
      <w:bookmarkEnd w:id="334"/>
      <w:bookmarkEnd w:id="335"/>
      <w:bookmarkEnd w:id="336"/>
      <w:bookmarkEnd w:id="337"/>
      <w:bookmarkEnd w:id="338"/>
      <w:bookmarkEnd w:id="339"/>
      <w:bookmarkEnd w:id="340"/>
      <w:bookmarkEnd w:id="341"/>
      <w:bookmarkEnd w:id="342"/>
      <w:bookmarkEnd w:id="343"/>
      <w:bookmarkEnd w:id="344"/>
    </w:p>
    <w:p w14:paraId="3D9D3881">
      <w:pPr>
        <w:pStyle w:val="5"/>
        <w:pageBreakBefore w:val="0"/>
        <w:widowControl w:val="0"/>
        <w:kinsoku/>
        <w:wordWrap/>
        <w:overflowPunct/>
        <w:topLinePunct w:val="0"/>
        <w:bidi w:val="0"/>
        <w:snapToGrid/>
        <w:spacing w:before="0" w:after="0" w:line="460" w:lineRule="exact"/>
        <w:ind w:firstLine="420" w:firstLineChars="200"/>
        <w:jc w:val="left"/>
        <w:textAlignment w:val="auto"/>
        <w:rPr>
          <w:rFonts w:hAnsi="Times New Roman" w:eastAsia="宋体"/>
          <w:color w:val="000000" w:themeColor="text1"/>
          <w:sz w:val="21"/>
          <w:szCs w:val="21"/>
          <w14:textFill>
            <w14:solidFill>
              <w14:schemeClr w14:val="tx1"/>
            </w14:solidFill>
          </w14:textFill>
        </w:rPr>
      </w:pPr>
      <w:bookmarkStart w:id="345" w:name="_Toc29855"/>
      <w:bookmarkStart w:id="346" w:name="_Toc152045575"/>
      <w:bookmarkStart w:id="347" w:name="_Toc508216924"/>
      <w:bookmarkStart w:id="348" w:name="_Toc144974543"/>
      <w:bookmarkStart w:id="349" w:name="_Toc322503150"/>
      <w:bookmarkStart w:id="350" w:name="_Toc152042351"/>
      <w:bookmarkStart w:id="351" w:name="_Toc387526221"/>
      <w:bookmarkStart w:id="352" w:name="_Toc269310963"/>
      <w:bookmarkStart w:id="353" w:name="_Toc387526417"/>
      <w:bookmarkStart w:id="354" w:name="_Toc397928593"/>
      <w:bookmarkStart w:id="355" w:name="_Toc387526325"/>
      <w:r>
        <w:rPr>
          <w:rFonts w:hAnsi="Times New Roman" w:eastAsia="宋体"/>
          <w:color w:val="000000" w:themeColor="text1"/>
          <w:sz w:val="21"/>
          <w:szCs w:val="21"/>
          <w14:textFill>
            <w14:solidFill>
              <w14:schemeClr w14:val="tx1"/>
            </w14:solidFill>
          </w14:textFill>
        </w:rPr>
        <w:t>9.1 对招标人的纪律要求</w:t>
      </w:r>
      <w:bookmarkEnd w:id="345"/>
      <w:bookmarkEnd w:id="346"/>
      <w:bookmarkEnd w:id="347"/>
      <w:bookmarkEnd w:id="348"/>
      <w:bookmarkEnd w:id="349"/>
      <w:bookmarkEnd w:id="350"/>
      <w:bookmarkEnd w:id="351"/>
      <w:bookmarkEnd w:id="352"/>
      <w:bookmarkEnd w:id="353"/>
      <w:bookmarkEnd w:id="354"/>
      <w:bookmarkEnd w:id="355"/>
    </w:p>
    <w:p w14:paraId="538D9430">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招标人不得泄露招标投标活动中应当保密的情况和资料，不得与投标人串通损害国家利益、社会公众利益或者他人合法权益。</w:t>
      </w:r>
    </w:p>
    <w:p w14:paraId="797AE1C8">
      <w:pPr>
        <w:pStyle w:val="5"/>
        <w:pageBreakBefore w:val="0"/>
        <w:widowControl w:val="0"/>
        <w:kinsoku/>
        <w:wordWrap/>
        <w:overflowPunct/>
        <w:topLinePunct w:val="0"/>
        <w:bidi w:val="0"/>
        <w:snapToGrid/>
        <w:spacing w:before="0" w:after="0" w:line="460" w:lineRule="exact"/>
        <w:ind w:firstLine="420" w:firstLineChars="200"/>
        <w:jc w:val="left"/>
        <w:textAlignment w:val="auto"/>
        <w:rPr>
          <w:rFonts w:hAnsi="Times New Roman" w:eastAsia="宋体"/>
          <w:color w:val="000000" w:themeColor="text1"/>
          <w:sz w:val="21"/>
          <w:szCs w:val="21"/>
          <w14:textFill>
            <w14:solidFill>
              <w14:schemeClr w14:val="tx1"/>
            </w14:solidFill>
          </w14:textFill>
        </w:rPr>
      </w:pPr>
      <w:bookmarkStart w:id="356" w:name="_Toc1420"/>
      <w:bookmarkStart w:id="357" w:name="_Toc144974544"/>
      <w:bookmarkStart w:id="358" w:name="_Toc387526222"/>
      <w:bookmarkStart w:id="359" w:name="_Toc387526326"/>
      <w:bookmarkStart w:id="360" w:name="_Toc269310964"/>
      <w:bookmarkStart w:id="361" w:name="_Toc322503151"/>
      <w:bookmarkStart w:id="362" w:name="_Toc397928594"/>
      <w:bookmarkStart w:id="363" w:name="_Toc508216925"/>
      <w:bookmarkStart w:id="364" w:name="_Toc387526418"/>
      <w:bookmarkStart w:id="365" w:name="_Toc152045576"/>
      <w:bookmarkStart w:id="366" w:name="_Toc152042352"/>
      <w:r>
        <w:rPr>
          <w:rFonts w:hAnsi="Times New Roman" w:eastAsia="宋体"/>
          <w:color w:val="000000" w:themeColor="text1"/>
          <w:sz w:val="21"/>
          <w:szCs w:val="21"/>
          <w14:textFill>
            <w14:solidFill>
              <w14:schemeClr w14:val="tx1"/>
            </w14:solidFill>
          </w14:textFill>
        </w:rPr>
        <w:t>9.2 对投标人的纪律要求</w:t>
      </w:r>
      <w:bookmarkEnd w:id="356"/>
      <w:bookmarkEnd w:id="357"/>
      <w:bookmarkEnd w:id="358"/>
      <w:bookmarkEnd w:id="359"/>
      <w:bookmarkEnd w:id="360"/>
      <w:bookmarkEnd w:id="361"/>
      <w:bookmarkEnd w:id="362"/>
      <w:bookmarkEnd w:id="363"/>
      <w:bookmarkEnd w:id="364"/>
      <w:bookmarkEnd w:id="365"/>
      <w:bookmarkEnd w:id="366"/>
    </w:p>
    <w:p w14:paraId="7A34A885">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bookmarkStart w:id="367" w:name="_Toc322503152"/>
      <w:bookmarkStart w:id="368" w:name="_Toc152042353"/>
      <w:bookmarkStart w:id="369" w:name="_Toc144974545"/>
      <w:bookmarkStart w:id="370" w:name="_Toc269310965"/>
      <w:bookmarkStart w:id="371" w:name="_Toc152045577"/>
      <w:r>
        <w:rPr>
          <w:color w:val="000000" w:themeColor="text1"/>
          <w:szCs w:val="21"/>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131E1B0">
      <w:pPr>
        <w:pStyle w:val="5"/>
        <w:pageBreakBefore w:val="0"/>
        <w:widowControl w:val="0"/>
        <w:kinsoku/>
        <w:wordWrap/>
        <w:overflowPunct/>
        <w:topLinePunct w:val="0"/>
        <w:bidi w:val="0"/>
        <w:snapToGrid/>
        <w:spacing w:before="0" w:after="0" w:line="460" w:lineRule="exact"/>
        <w:ind w:firstLine="420" w:firstLineChars="200"/>
        <w:jc w:val="left"/>
        <w:textAlignment w:val="auto"/>
        <w:rPr>
          <w:rFonts w:hAnsi="Times New Roman" w:eastAsia="宋体"/>
          <w:color w:val="000000" w:themeColor="text1"/>
          <w:sz w:val="21"/>
          <w:szCs w:val="21"/>
          <w14:textFill>
            <w14:solidFill>
              <w14:schemeClr w14:val="tx1"/>
            </w14:solidFill>
          </w14:textFill>
        </w:rPr>
      </w:pPr>
      <w:bookmarkStart w:id="372" w:name="_Toc387526419"/>
      <w:bookmarkStart w:id="373" w:name="_Toc16374"/>
      <w:bookmarkStart w:id="374" w:name="_Toc387526327"/>
      <w:bookmarkStart w:id="375" w:name="_Toc397928595"/>
      <w:bookmarkStart w:id="376" w:name="_Toc387526223"/>
      <w:bookmarkStart w:id="377" w:name="_Toc508216926"/>
      <w:r>
        <w:rPr>
          <w:rFonts w:hAnsi="Times New Roman" w:eastAsia="宋体"/>
          <w:color w:val="000000" w:themeColor="text1"/>
          <w:sz w:val="21"/>
          <w:szCs w:val="21"/>
          <w14:textFill>
            <w14:solidFill>
              <w14:schemeClr w14:val="tx1"/>
            </w14:solidFill>
          </w14:textFill>
        </w:rPr>
        <w:t>9.3 对评标委员会成员的纪律要求</w:t>
      </w:r>
      <w:bookmarkEnd w:id="367"/>
      <w:bookmarkEnd w:id="368"/>
      <w:bookmarkEnd w:id="369"/>
      <w:bookmarkEnd w:id="370"/>
      <w:bookmarkEnd w:id="371"/>
      <w:bookmarkEnd w:id="372"/>
      <w:bookmarkEnd w:id="373"/>
      <w:bookmarkEnd w:id="374"/>
      <w:bookmarkEnd w:id="375"/>
      <w:bookmarkEnd w:id="376"/>
      <w:bookmarkEnd w:id="377"/>
    </w:p>
    <w:p w14:paraId="01AC0205">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bookmarkStart w:id="378" w:name="_Toc152045578"/>
      <w:bookmarkStart w:id="379" w:name="_Toc152042354"/>
      <w:bookmarkStart w:id="380" w:name="_Toc247085736"/>
      <w:bookmarkStart w:id="381" w:name="_Toc246996222"/>
      <w:bookmarkStart w:id="382" w:name="_Toc246996965"/>
      <w:bookmarkStart w:id="383" w:name="_Toc179632596"/>
      <w:bookmarkStart w:id="384" w:name="_Toc366679707"/>
      <w:bookmarkStart w:id="385" w:name="_Toc144974546"/>
      <w:r>
        <w:rPr>
          <w:color w:val="000000" w:themeColor="text1"/>
          <w:szCs w:val="21"/>
          <w14:textFill>
            <w14:solidFill>
              <w14:schemeClr w14:val="tx1"/>
            </w14:solidFill>
          </w14:textFill>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14:paraId="3ED62E91">
      <w:pPr>
        <w:pStyle w:val="5"/>
        <w:pageBreakBefore w:val="0"/>
        <w:widowControl w:val="0"/>
        <w:kinsoku/>
        <w:wordWrap/>
        <w:overflowPunct/>
        <w:topLinePunct w:val="0"/>
        <w:bidi w:val="0"/>
        <w:snapToGrid/>
        <w:spacing w:before="0" w:after="0" w:line="460" w:lineRule="exact"/>
        <w:ind w:firstLine="420" w:firstLineChars="200"/>
        <w:jc w:val="left"/>
        <w:textAlignment w:val="auto"/>
        <w:rPr>
          <w:rFonts w:hAnsi="Times New Roman" w:eastAsia="宋体"/>
          <w:color w:val="000000" w:themeColor="text1"/>
          <w:sz w:val="21"/>
          <w:szCs w:val="21"/>
          <w14:textFill>
            <w14:solidFill>
              <w14:schemeClr w14:val="tx1"/>
            </w14:solidFill>
          </w14:textFill>
        </w:rPr>
      </w:pPr>
      <w:bookmarkStart w:id="386" w:name="_Toc1042"/>
      <w:bookmarkStart w:id="387" w:name="_Toc387526420"/>
      <w:bookmarkStart w:id="388" w:name="_Toc387526224"/>
      <w:bookmarkStart w:id="389" w:name="_Toc387526328"/>
      <w:bookmarkStart w:id="390" w:name="_Toc508216927"/>
      <w:bookmarkStart w:id="391" w:name="_Toc397928596"/>
      <w:r>
        <w:rPr>
          <w:rFonts w:hAnsi="Times New Roman" w:eastAsia="宋体"/>
          <w:color w:val="000000" w:themeColor="text1"/>
          <w:sz w:val="21"/>
          <w:szCs w:val="21"/>
          <w14:textFill>
            <w14:solidFill>
              <w14:schemeClr w14:val="tx1"/>
            </w14:solidFill>
          </w14:textFill>
        </w:rPr>
        <w:t>9.4 对与评标活动有关的工作人员的纪律要求</w:t>
      </w:r>
      <w:bookmarkEnd w:id="378"/>
      <w:bookmarkEnd w:id="379"/>
      <w:bookmarkEnd w:id="380"/>
      <w:bookmarkEnd w:id="381"/>
      <w:bookmarkEnd w:id="382"/>
      <w:bookmarkEnd w:id="383"/>
      <w:bookmarkEnd w:id="384"/>
      <w:bookmarkEnd w:id="386"/>
      <w:bookmarkEnd w:id="387"/>
      <w:bookmarkEnd w:id="388"/>
      <w:bookmarkEnd w:id="389"/>
      <w:bookmarkEnd w:id="390"/>
      <w:bookmarkEnd w:id="391"/>
    </w:p>
    <w:p w14:paraId="39C545B9">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bookmarkStart w:id="392" w:name="_Toc152042355"/>
      <w:bookmarkStart w:id="393" w:name="_Toc152045579"/>
      <w:bookmarkStart w:id="394" w:name="_Toc366679708"/>
      <w:bookmarkStart w:id="395" w:name="_Toc152042356"/>
      <w:bookmarkStart w:id="396" w:name="_Toc247085737"/>
      <w:bookmarkStart w:id="397" w:name="_Toc179632597"/>
      <w:bookmarkStart w:id="398" w:name="_Toc246996223"/>
      <w:bookmarkStart w:id="399" w:name="_Toc246996966"/>
      <w:r>
        <w:rPr>
          <w:color w:val="000000" w:themeColor="text1"/>
          <w:szCs w:val="21"/>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92"/>
    </w:p>
    <w:bookmarkEnd w:id="385"/>
    <w:bookmarkEnd w:id="393"/>
    <w:bookmarkEnd w:id="394"/>
    <w:bookmarkEnd w:id="395"/>
    <w:bookmarkEnd w:id="396"/>
    <w:bookmarkEnd w:id="397"/>
    <w:bookmarkEnd w:id="398"/>
    <w:bookmarkEnd w:id="399"/>
    <w:p w14:paraId="60109AE7">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bookmarkStart w:id="400" w:name="_Toc387526422"/>
      <w:bookmarkStart w:id="401" w:name="_Toc387526226"/>
      <w:bookmarkStart w:id="402" w:name="_Toc9600"/>
      <w:bookmarkStart w:id="403" w:name="_Toc387526330"/>
      <w:r>
        <w:rPr>
          <w:color w:val="000000" w:themeColor="text1"/>
          <w:szCs w:val="21"/>
          <w14:textFill>
            <w14:solidFill>
              <w14:schemeClr w14:val="tx1"/>
            </w14:solidFill>
          </w14:textFill>
        </w:rPr>
        <w:t>9.5</w:t>
      </w:r>
      <w:r>
        <w:rPr>
          <w:rFonts w:hint="eastAsia" w:ascii="宋体" w:hAnsi="宋体"/>
          <w:color w:val="000000" w:themeColor="text1"/>
          <w:szCs w:val="21"/>
          <w14:textFill>
            <w14:solidFill>
              <w14:schemeClr w14:val="tx1"/>
            </w14:solidFill>
          </w14:textFill>
        </w:rPr>
        <w:t>异议与投诉</w:t>
      </w:r>
    </w:p>
    <w:p w14:paraId="781381CE">
      <w:pPr>
        <w:pageBreakBefore w:val="0"/>
        <w:widowControl w:val="0"/>
        <w:kinsoku/>
        <w:wordWrap/>
        <w:overflowPunct/>
        <w:topLinePunct w:val="0"/>
        <w:autoSpaceDE w:val="0"/>
        <w:autoSpaceDN w:val="0"/>
        <w:bidi w:val="0"/>
        <w:adjustRightInd w:val="0"/>
        <w:snapToGrid/>
        <w:spacing w:line="460" w:lineRule="exact"/>
        <w:ind w:firstLine="420" w:firstLineChars="200"/>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9.5.1异议</w:t>
      </w:r>
    </w:p>
    <w:p w14:paraId="1F67BFA3">
      <w:pPr>
        <w:pageBreakBefore w:val="0"/>
        <w:widowControl w:val="0"/>
        <w:kinsoku/>
        <w:wordWrap/>
        <w:overflowPunct/>
        <w:topLinePunct w:val="0"/>
        <w:autoSpaceDE w:val="0"/>
        <w:autoSpaceDN w:val="0"/>
        <w:bidi w:val="0"/>
        <w:adjustRightInd w:val="0"/>
        <w:snapToGrid/>
        <w:spacing w:line="460" w:lineRule="exact"/>
        <w:ind w:firstLine="420" w:firstLineChars="200"/>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投标人或者其他利害关系人对招标文件有异议的，应在投标人须知前附表规定的时间前提出。招标人应当自收到异议之日起3日内作出答复；作出答复前，应当暂停招标投标活动。</w:t>
      </w:r>
    </w:p>
    <w:p w14:paraId="6A2F972B">
      <w:pPr>
        <w:pageBreakBefore w:val="0"/>
        <w:widowControl w:val="0"/>
        <w:kinsoku/>
        <w:wordWrap/>
        <w:overflowPunct/>
        <w:topLinePunct w:val="0"/>
        <w:autoSpaceDE w:val="0"/>
        <w:autoSpaceDN w:val="0"/>
        <w:bidi w:val="0"/>
        <w:adjustRightInd w:val="0"/>
        <w:snapToGrid/>
        <w:spacing w:line="460" w:lineRule="exact"/>
        <w:ind w:firstLine="420" w:firstLineChars="200"/>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投标人对开标有异议的，应当在开标现场提出，招标人应当当场作出答复，并制作记录。</w:t>
      </w:r>
    </w:p>
    <w:p w14:paraId="3EC74D59">
      <w:pPr>
        <w:pageBreakBefore w:val="0"/>
        <w:widowControl w:val="0"/>
        <w:kinsoku/>
        <w:wordWrap/>
        <w:overflowPunct/>
        <w:topLinePunct w:val="0"/>
        <w:autoSpaceDE w:val="0"/>
        <w:autoSpaceDN w:val="0"/>
        <w:bidi w:val="0"/>
        <w:adjustRightInd w:val="0"/>
        <w:snapToGrid/>
        <w:spacing w:line="460" w:lineRule="exact"/>
        <w:ind w:firstLine="420" w:firstLineChars="200"/>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投标人或者其他利害关系人对依法必须进行招标的项目的评标结果有异议的，应当在中标候选人公示期间提出。</w:t>
      </w:r>
    </w:p>
    <w:p w14:paraId="7EEF2B6A">
      <w:pPr>
        <w:pageBreakBefore w:val="0"/>
        <w:widowControl w:val="0"/>
        <w:kinsoku/>
        <w:wordWrap/>
        <w:overflowPunct/>
        <w:topLinePunct w:val="0"/>
        <w:autoSpaceDE w:val="0"/>
        <w:autoSpaceDN w:val="0"/>
        <w:bidi w:val="0"/>
        <w:adjustRightInd w:val="0"/>
        <w:snapToGrid/>
        <w:spacing w:line="460" w:lineRule="exact"/>
        <w:ind w:firstLine="420" w:firstLineChars="200"/>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9.5.2投诉</w:t>
      </w:r>
    </w:p>
    <w:p w14:paraId="38618AC7">
      <w:pPr>
        <w:pageBreakBefore w:val="0"/>
        <w:widowControl w:val="0"/>
        <w:kinsoku/>
        <w:wordWrap/>
        <w:overflowPunct/>
        <w:topLinePunct w:val="0"/>
        <w:autoSpaceDE w:val="0"/>
        <w:autoSpaceDN w:val="0"/>
        <w:bidi w:val="0"/>
        <w:adjustRightInd w:val="0"/>
        <w:snapToGrid/>
        <w:spacing w:line="460" w:lineRule="exact"/>
        <w:ind w:firstLine="420" w:firstLineChars="200"/>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投标人和其他利害关系人认为本次招标活动违反法律、法规和规章规定的，可以在知道或者应当知道之日起十日内向</w:t>
      </w:r>
      <w:r>
        <w:rPr>
          <w:rFonts w:hint="eastAsia" w:ascii="宋体" w:hAnsi="宋体" w:eastAsia="宋体" w:cs="宋体"/>
          <w:color w:val="000000" w:themeColor="text1"/>
          <w:kern w:val="0"/>
          <w:szCs w:val="21"/>
          <w:lang w:val="en-US" w:eastAsia="zh-CN"/>
          <w14:textFill>
            <w14:solidFill>
              <w14:schemeClr w14:val="tx1"/>
            </w14:solidFill>
          </w14:textFill>
        </w:rPr>
        <w:t>盐城市大丰区城镇净水有限公司</w:t>
      </w:r>
      <w:r>
        <w:rPr>
          <w:rFonts w:hint="eastAsia" w:ascii="宋体" w:hAnsi="宋体" w:cs="宋体"/>
          <w:color w:val="000000" w:themeColor="text1"/>
          <w:kern w:val="0"/>
          <w:szCs w:val="21"/>
          <w14:textFill>
            <w14:solidFill>
              <w14:schemeClr w14:val="tx1"/>
            </w14:solidFill>
          </w14:textFill>
        </w:rPr>
        <w:t>提出书面投诉。投诉应当有明确的请求和必要的证明材料。就第9.5.1项规定事项提出投诉的，应先向招标人提出异议。</w:t>
      </w:r>
    </w:p>
    <w:p w14:paraId="1115C525">
      <w:pPr>
        <w:pStyle w:val="5"/>
        <w:pageBreakBefore w:val="0"/>
        <w:widowControl w:val="0"/>
        <w:kinsoku/>
        <w:wordWrap/>
        <w:overflowPunct/>
        <w:topLinePunct w:val="0"/>
        <w:bidi w:val="0"/>
        <w:snapToGrid/>
        <w:spacing w:before="0" w:after="0" w:line="460" w:lineRule="exact"/>
        <w:ind w:firstLine="420" w:firstLineChars="200"/>
        <w:jc w:val="left"/>
        <w:textAlignment w:val="auto"/>
        <w:rPr>
          <w:rFonts w:hAnsi="Times New Roman" w:eastAsia="宋体"/>
          <w:color w:val="000000" w:themeColor="text1"/>
          <w:sz w:val="21"/>
          <w:szCs w:val="21"/>
          <w14:textFill>
            <w14:solidFill>
              <w14:schemeClr w14:val="tx1"/>
            </w14:solidFill>
          </w14:textFill>
        </w:rPr>
      </w:pPr>
      <w:bookmarkStart w:id="404" w:name="_Toc508216929"/>
      <w:r>
        <w:rPr>
          <w:rFonts w:hAnsi="Times New Roman" w:eastAsia="宋体"/>
          <w:color w:val="000000" w:themeColor="text1"/>
          <w:sz w:val="21"/>
          <w:szCs w:val="21"/>
          <w14:textFill>
            <w14:solidFill>
              <w14:schemeClr w14:val="tx1"/>
            </w14:solidFill>
          </w14:textFill>
        </w:rPr>
        <w:t>9.</w:t>
      </w:r>
      <w:r>
        <w:rPr>
          <w:rFonts w:hint="eastAsia" w:hAnsi="Times New Roman" w:eastAsia="宋体"/>
          <w:color w:val="000000" w:themeColor="text1"/>
          <w:sz w:val="21"/>
          <w:szCs w:val="21"/>
          <w14:textFill>
            <w14:solidFill>
              <w14:schemeClr w14:val="tx1"/>
            </w14:solidFill>
          </w14:textFill>
        </w:rPr>
        <w:t>6</w:t>
      </w:r>
      <w:r>
        <w:rPr>
          <w:rFonts w:hAnsi="Times New Roman" w:eastAsia="宋体"/>
          <w:color w:val="000000" w:themeColor="text1"/>
          <w:sz w:val="21"/>
          <w:szCs w:val="21"/>
          <w14:textFill>
            <w14:solidFill>
              <w14:schemeClr w14:val="tx1"/>
            </w14:solidFill>
          </w14:textFill>
        </w:rPr>
        <w:t>差别待遇或者歧视待遇现象</w:t>
      </w:r>
      <w:bookmarkEnd w:id="404"/>
    </w:p>
    <w:p w14:paraId="0B38CF8C">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采购人或者采购代理机构有下列情形之一的，属于以不合理的条件对供应商实行差别待遇或者歧视待遇：</w:t>
      </w:r>
    </w:p>
    <w:p w14:paraId="1D7EDCB1">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（一）就同一采购项目向供应商提供有差别的项目信息；</w:t>
      </w:r>
    </w:p>
    <w:p w14:paraId="26E539EF">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（二）设定的资格、技术、商务条件与采购项目的具体特点和实际需要不相适应或者与合同履行无关；</w:t>
      </w:r>
    </w:p>
    <w:p w14:paraId="42EC522D">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（三）采购需求中的技术、服务等要求指向特定供应商、特定产品；</w:t>
      </w:r>
    </w:p>
    <w:p w14:paraId="7F1965B4">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（四）以特定行政区域或者特定行业的业绩、奖项作为加分条件或者中标、成交条件；</w:t>
      </w:r>
    </w:p>
    <w:p w14:paraId="0C5FB709">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（五）对供应商采取不同的资格审查或者评审标准；</w:t>
      </w:r>
    </w:p>
    <w:p w14:paraId="4EFD857F">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（六）限定或者指定特定的专利、商标、品牌或者供应商；</w:t>
      </w:r>
    </w:p>
    <w:p w14:paraId="6EF73FF0">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（七）非法限定供应商的所有制形式、组织形式或者所在地；</w:t>
      </w:r>
    </w:p>
    <w:p w14:paraId="1E5CBC1F">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（八）以其他不合理条件限制或者排斥潜在供应商。</w:t>
      </w:r>
    </w:p>
    <w:p w14:paraId="66A9B452">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若有以上现象，评委将根据本招标文件相关条款执行。</w:t>
      </w:r>
      <w:bookmarkStart w:id="405" w:name="_Toc397928598"/>
      <w:bookmarkStart w:id="406" w:name="_Toc508216930"/>
    </w:p>
    <w:p w14:paraId="17779D6F">
      <w:pPr>
        <w:pageBreakBefore w:val="0"/>
        <w:widowControl w:val="0"/>
        <w:kinsoku/>
        <w:wordWrap/>
        <w:overflowPunct/>
        <w:topLinePunct w:val="0"/>
        <w:bidi w:val="0"/>
        <w:snapToGrid/>
        <w:spacing w:line="460" w:lineRule="exact"/>
        <w:ind w:firstLine="422" w:firstLineChars="200"/>
        <w:jc w:val="left"/>
        <w:textAlignment w:val="auto"/>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10.招标人需要补充的其他内容</w:t>
      </w:r>
      <w:bookmarkEnd w:id="405"/>
      <w:bookmarkEnd w:id="406"/>
    </w:p>
    <w:bookmarkEnd w:id="400"/>
    <w:bookmarkEnd w:id="401"/>
    <w:bookmarkEnd w:id="402"/>
    <w:bookmarkEnd w:id="403"/>
    <w:p w14:paraId="08F07A24">
      <w:pPr>
        <w:pStyle w:val="44"/>
        <w:pageBreakBefore w:val="0"/>
        <w:widowControl w:val="0"/>
        <w:kinsoku/>
        <w:wordWrap/>
        <w:overflowPunct/>
        <w:topLinePunct w:val="0"/>
        <w:autoSpaceDE/>
        <w:autoSpaceDN/>
        <w:bidi w:val="0"/>
        <w:adjustRightInd w:val="0"/>
        <w:snapToGrid/>
        <w:spacing w:beforeAutospacing="0" w:afterAutospacing="0" w:line="460" w:lineRule="exact"/>
        <w:ind w:left="0" w:firstLine="420" w:firstLineChars="200"/>
        <w:jc w:val="both"/>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10.1政府采购异常低价审查</w:t>
      </w:r>
    </w:p>
    <w:p w14:paraId="6E5C2F91">
      <w:pPr>
        <w:pStyle w:val="44"/>
        <w:pageBreakBefore w:val="0"/>
        <w:widowControl w:val="0"/>
        <w:kinsoku/>
        <w:wordWrap/>
        <w:overflowPunct/>
        <w:topLinePunct w:val="0"/>
        <w:autoSpaceDE/>
        <w:autoSpaceDN/>
        <w:bidi w:val="0"/>
        <w:adjustRightInd w:val="0"/>
        <w:snapToGrid/>
        <w:spacing w:beforeAutospacing="0" w:afterAutospacing="0" w:line="460" w:lineRule="exact"/>
        <w:ind w:left="0" w:firstLine="420" w:firstLineChars="200"/>
        <w:jc w:val="both"/>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10.1.1评审过程中出现下列情形之一的，评审委员会应当启动异常低价投标（响应）审查程序：</w:t>
      </w:r>
    </w:p>
    <w:p w14:paraId="39C9B92B">
      <w:pPr>
        <w:pStyle w:val="44"/>
        <w:pageBreakBefore w:val="0"/>
        <w:widowControl w:val="0"/>
        <w:kinsoku/>
        <w:wordWrap/>
        <w:overflowPunct/>
        <w:topLinePunct w:val="0"/>
        <w:autoSpaceDE/>
        <w:autoSpaceDN/>
        <w:bidi w:val="0"/>
        <w:adjustRightInd w:val="0"/>
        <w:snapToGrid/>
        <w:spacing w:beforeAutospacing="0" w:afterAutospacing="0" w:line="460" w:lineRule="exact"/>
        <w:ind w:left="0" w:firstLine="420" w:firstLineChars="200"/>
        <w:jc w:val="both"/>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（1）投标（响应）报价低于采购项目预算50%的，即投标（响应）报价&lt;采购项目预算×50%;</w:t>
      </w:r>
    </w:p>
    <w:p w14:paraId="3C28153C">
      <w:pPr>
        <w:pStyle w:val="44"/>
        <w:keepNext/>
        <w:keepLines/>
        <w:pageBreakBefore w:val="0"/>
        <w:widowControl w:val="0"/>
        <w:kinsoku/>
        <w:wordWrap/>
        <w:overflowPunct/>
        <w:topLinePunct w:val="0"/>
        <w:autoSpaceDE/>
        <w:autoSpaceDN/>
        <w:bidi w:val="0"/>
        <w:adjustRightInd w:val="0"/>
        <w:snapToGrid/>
        <w:spacing w:beforeAutospacing="0" w:afterAutospacing="0" w:line="460" w:lineRule="exact"/>
        <w:ind w:left="0" w:firstLine="420" w:firstLineChars="200"/>
        <w:jc w:val="both"/>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（2）投标（响应）报价低于采购项目最高限价45%的，即投标（响应）报价&lt;采购项目最高限价×45%;</w:t>
      </w:r>
    </w:p>
    <w:p w14:paraId="636D3D87">
      <w:pPr>
        <w:pStyle w:val="44"/>
        <w:keepNext/>
        <w:keepLines/>
        <w:pageBreakBefore w:val="0"/>
        <w:widowControl w:val="0"/>
        <w:kinsoku/>
        <w:wordWrap/>
        <w:overflowPunct/>
        <w:topLinePunct w:val="0"/>
        <w:autoSpaceDE/>
        <w:autoSpaceDN/>
        <w:bidi w:val="0"/>
        <w:adjustRightInd w:val="0"/>
        <w:snapToGrid/>
        <w:spacing w:beforeAutospacing="0" w:afterAutospacing="0" w:line="460" w:lineRule="exact"/>
        <w:ind w:left="0" w:firstLine="420" w:firstLineChars="200"/>
        <w:jc w:val="both"/>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（3）评审委员会认定的供应商报价过低、有可能影响产品质量或者不能诚信履约的其他情形。</w:t>
      </w:r>
    </w:p>
    <w:p w14:paraId="24488025">
      <w:pPr>
        <w:pStyle w:val="44"/>
        <w:keepNext/>
        <w:keepLines/>
        <w:pageBreakBefore w:val="0"/>
        <w:widowControl w:val="0"/>
        <w:kinsoku/>
        <w:wordWrap/>
        <w:overflowPunct/>
        <w:topLinePunct w:val="0"/>
        <w:autoSpaceDE/>
        <w:autoSpaceDN/>
        <w:bidi w:val="0"/>
        <w:adjustRightInd w:val="0"/>
        <w:snapToGrid/>
        <w:spacing w:beforeAutospacing="0" w:afterAutospacing="0" w:line="460" w:lineRule="exact"/>
        <w:ind w:left="0" w:firstLine="420" w:firstLineChars="200"/>
        <w:jc w:val="both"/>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10.1.2启动异常低价投标（响应）审查后，评审委员会应当要求相关供应商在评标现场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在评审报告中进行记录。</w:t>
      </w:r>
    </w:p>
    <w:p w14:paraId="31F94578">
      <w:pPr>
        <w:pageBreakBefore w:val="0"/>
        <w:widowControl w:val="0"/>
        <w:kinsoku/>
        <w:wordWrap/>
        <w:overflowPunct/>
        <w:topLinePunct w:val="0"/>
        <w:bidi w:val="0"/>
        <w:snapToGrid/>
        <w:spacing w:line="460" w:lineRule="exact"/>
        <w:ind w:firstLine="422" w:firstLineChars="200"/>
        <w:jc w:val="left"/>
        <w:textAlignment w:val="auto"/>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11.解释权</w:t>
      </w:r>
    </w:p>
    <w:p w14:paraId="42EAD4C0">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构成本招标文件的各个组成文件应互为解释，互为说明。当发现的不明确或不一致，在招标文件中有明确规定的，评标委员会应按已明确的规定评标；当发现的不明确或不一致，在招标文件中没有明确规定时：</w:t>
      </w:r>
    </w:p>
    <w:p w14:paraId="45F0A084">
      <w:pPr>
        <w:pageBreakBefore w:val="0"/>
        <w:widowControl w:val="0"/>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⑴</w:t>
      </w:r>
      <w:r>
        <w:rPr>
          <w:color w:val="000000" w:themeColor="text1"/>
          <w:szCs w:val="21"/>
          <w14:textFill>
            <w14:solidFill>
              <w14:schemeClr w14:val="tx1"/>
            </w14:solidFill>
          </w14:textFill>
        </w:rPr>
        <w:t>凡是构成合同文件组成内容的不明确或不一致，以合同文件约定内容为准，且以专用合同条款约定的合同文件优先顺序解释；</w:t>
      </w:r>
    </w:p>
    <w:p w14:paraId="3B4ACED5">
      <w:pPr>
        <w:pageBreakBefore w:val="0"/>
        <w:widowControl w:val="0"/>
        <w:tabs>
          <w:tab w:val="left" w:pos="920"/>
        </w:tabs>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⑵</w:t>
      </w:r>
      <w:r>
        <w:rPr>
          <w:color w:val="000000" w:themeColor="text1"/>
          <w:szCs w:val="21"/>
          <w14:textFill>
            <w14:solidFill>
              <w14:schemeClr w14:val="tx1"/>
            </w14:solidFill>
          </w14:textFill>
        </w:rPr>
        <w:t>凡不是构成合同文件组成内容的不明确或不一致，除招标文件中有特别规定外，仅适用于招标投标阶段的规定，按招标公告、投标人须知、评标办法、投标文件格式的先后顺序解释。同一组成文件中就同一事项的规定或约定不一致的，影响评审的，剔除该因素进行评审；其它情形的，以现行法律法规约定为准；凡同一组成文件不同版本之间有不一致的，以形成时间在后者为准。</w:t>
      </w:r>
    </w:p>
    <w:p w14:paraId="3FED83EA">
      <w:pPr>
        <w:pageBreakBefore w:val="0"/>
        <w:widowControl w:val="0"/>
        <w:tabs>
          <w:tab w:val="left" w:pos="920"/>
        </w:tabs>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⑶</w:t>
      </w:r>
      <w:r>
        <w:rPr>
          <w:color w:val="000000" w:themeColor="text1"/>
          <w:szCs w:val="21"/>
          <w14:textFill>
            <w14:solidFill>
              <w14:schemeClr w14:val="tx1"/>
            </w14:solidFill>
          </w14:textFill>
        </w:rPr>
        <w:t>按本款前述规定仍不能形成结论的，由招标人负责解释。</w:t>
      </w:r>
    </w:p>
    <w:p w14:paraId="40A467B4">
      <w:pPr>
        <w:pageBreakBefore w:val="0"/>
        <w:widowControl w:val="0"/>
        <w:numPr>
          <w:ilvl w:val="0"/>
          <w:numId w:val="4"/>
        </w:numPr>
        <w:tabs>
          <w:tab w:val="left" w:pos="920"/>
          <w:tab w:val="clear" w:pos="312"/>
        </w:tabs>
        <w:kinsoku/>
        <w:wordWrap/>
        <w:overflowPunct/>
        <w:topLinePunct w:val="0"/>
        <w:bidi w:val="0"/>
        <w:snapToGrid/>
        <w:spacing w:line="460" w:lineRule="exact"/>
        <w:ind w:firstLine="422" w:firstLineChars="200"/>
        <w:jc w:val="left"/>
        <w:textAlignment w:val="auto"/>
      </w:pPr>
      <w:r>
        <w:rPr>
          <w:b/>
          <w:bCs/>
          <w:color w:val="000000" w:themeColor="text1"/>
          <w:szCs w:val="21"/>
          <w14:textFill>
            <w14:solidFill>
              <w14:schemeClr w14:val="tx1"/>
            </w14:solidFill>
          </w14:textFill>
        </w:rPr>
        <w:t>其他</w:t>
      </w:r>
    </w:p>
    <w:p w14:paraId="299B55C6">
      <w:pPr>
        <w:pStyle w:val="2"/>
        <w:numPr>
          <w:ilvl w:val="0"/>
          <w:numId w:val="0"/>
        </w:numP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 xml:space="preserve">    </w:t>
      </w:r>
    </w:p>
    <w:p w14:paraId="1700E57F">
      <w:pPr>
        <w:pStyle w:val="2"/>
        <w:numPr>
          <w:ilvl w:val="0"/>
          <w:numId w:val="0"/>
        </w:numPr>
        <w:ind w:firstLine="420" w:firstLineChars="200"/>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1、本项目招标代理费7000元整，评标费按实际发生费用收取，由中标人支付。</w:t>
      </w:r>
    </w:p>
    <w:p w14:paraId="62391FD8">
      <w:pPr>
        <w:pageBreakBefore w:val="0"/>
        <w:widowControl w:val="0"/>
        <w:tabs>
          <w:tab w:val="left" w:pos="920"/>
        </w:tabs>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2</w:t>
      </w:r>
      <w:r>
        <w:rPr>
          <w:color w:val="000000" w:themeColor="text1"/>
          <w:szCs w:val="21"/>
          <w14:textFill>
            <w14:solidFill>
              <w14:schemeClr w14:val="tx1"/>
            </w14:solidFill>
          </w14:textFill>
        </w:rPr>
        <w:t>、本招标文件时间均以中华人民共和国北京时间为准，所涉及金额的币种均为人民币。</w:t>
      </w:r>
    </w:p>
    <w:p w14:paraId="448794A2">
      <w:pPr>
        <w:pageBreakBefore w:val="0"/>
        <w:widowControl w:val="0"/>
        <w:tabs>
          <w:tab w:val="left" w:pos="920"/>
        </w:tabs>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3</w:t>
      </w:r>
      <w:r>
        <w:rPr>
          <w:color w:val="000000" w:themeColor="text1"/>
          <w:szCs w:val="21"/>
          <w14:textFill>
            <w14:solidFill>
              <w14:schemeClr w14:val="tx1"/>
            </w14:solidFill>
          </w14:textFill>
        </w:rPr>
        <w:t>、凡参与本项目投标的投标人，视同已踏勘过项目现场和研究了本招标文件的所有内容，并无保留地接受招标文件的所有条款（含招标答疑、补充通知等）。</w:t>
      </w:r>
    </w:p>
    <w:p w14:paraId="205DEBA9">
      <w:pPr>
        <w:pageBreakBefore w:val="0"/>
        <w:widowControl w:val="0"/>
        <w:tabs>
          <w:tab w:val="left" w:pos="920"/>
        </w:tabs>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4</w:t>
      </w:r>
      <w:r>
        <w:rPr>
          <w:color w:val="000000" w:themeColor="text1"/>
          <w:szCs w:val="21"/>
          <w14:textFill>
            <w14:solidFill>
              <w14:schemeClr w14:val="tx1"/>
            </w14:solidFill>
          </w14:textFill>
        </w:rPr>
        <w:t>、本招标文件未尽事宜，按国家和省法律法规、规章要求处理。</w:t>
      </w:r>
    </w:p>
    <w:p w14:paraId="4E267FF2">
      <w:pPr>
        <w:pageBreakBefore w:val="0"/>
        <w:widowControl w:val="0"/>
        <w:tabs>
          <w:tab w:val="left" w:pos="920"/>
        </w:tabs>
        <w:kinsoku/>
        <w:wordWrap/>
        <w:overflowPunct/>
        <w:topLinePunct w:val="0"/>
        <w:bidi w:val="0"/>
        <w:snapToGrid/>
        <w:spacing w:line="460" w:lineRule="exact"/>
        <w:ind w:firstLine="420" w:firstLineChars="200"/>
        <w:jc w:val="left"/>
        <w:textAlignment w:val="auto"/>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5</w:t>
      </w:r>
      <w:r>
        <w:rPr>
          <w:color w:val="000000" w:themeColor="text1"/>
          <w:szCs w:val="21"/>
          <w14:textFill>
            <w14:solidFill>
              <w14:schemeClr w14:val="tx1"/>
            </w14:solidFill>
          </w14:textFill>
        </w:rPr>
        <w:t>、本招标文件的解释权归招标人所有。</w:t>
      </w:r>
      <w:bookmarkStart w:id="407" w:name="_Toc508216932"/>
      <w:bookmarkStart w:id="408" w:name="_Toc397928599"/>
      <w:bookmarkStart w:id="409" w:name="_Toc184635093"/>
      <w:bookmarkStart w:id="410" w:name="_Toc397928601"/>
      <w:bookmarkStart w:id="411" w:name="_Toc508216933"/>
      <w:bookmarkStart w:id="412" w:name="_Toc12629"/>
    </w:p>
    <w:p w14:paraId="360740AE">
      <w:pPr>
        <w:rPr>
          <w:color w:val="000000" w:themeColor="text1"/>
          <w14:textFill>
            <w14:solidFill>
              <w14:schemeClr w14:val="tx1"/>
            </w14:solidFill>
          </w14:textFill>
        </w:rPr>
      </w:pPr>
    </w:p>
    <w:p w14:paraId="4F491DEA">
      <w:pPr>
        <w:rPr>
          <w:color w:val="000000" w:themeColor="text1"/>
          <w14:textFill>
            <w14:solidFill>
              <w14:schemeClr w14:val="tx1"/>
            </w14:solidFill>
          </w14:textFill>
        </w:rPr>
      </w:pPr>
    </w:p>
    <w:p w14:paraId="430D7785">
      <w:pPr>
        <w:rPr>
          <w:color w:val="000000" w:themeColor="text1"/>
          <w14:textFill>
            <w14:solidFill>
              <w14:schemeClr w14:val="tx1"/>
            </w14:solidFill>
          </w14:textFill>
        </w:rPr>
      </w:pPr>
    </w:p>
    <w:p w14:paraId="76AEF72A">
      <w:pPr>
        <w:rPr>
          <w:color w:val="000000" w:themeColor="text1"/>
          <w14:textFill>
            <w14:solidFill>
              <w14:schemeClr w14:val="tx1"/>
            </w14:solidFill>
          </w14:textFill>
        </w:rPr>
      </w:pPr>
    </w:p>
    <w:p w14:paraId="314CFBE5">
      <w:pPr>
        <w:widowControl/>
        <w:jc w:val="left"/>
        <w:rPr>
          <w:b/>
          <w:bCs/>
          <w:color w:val="000000" w:themeColor="text1"/>
          <w:kern w:val="44"/>
          <w:sz w:val="44"/>
          <w:szCs w:val="44"/>
          <w14:textFill>
            <w14:solidFill>
              <w14:schemeClr w14:val="tx1"/>
            </w14:solidFill>
          </w14:textFill>
        </w:rPr>
      </w:pPr>
      <w:bookmarkStart w:id="413" w:name="_Toc28124"/>
      <w:r>
        <w:rPr>
          <w:color w:val="000000" w:themeColor="text1"/>
          <w14:textFill>
            <w14:solidFill>
              <w14:schemeClr w14:val="tx1"/>
            </w14:solidFill>
          </w14:textFill>
        </w:rPr>
        <w:br w:type="page"/>
      </w:r>
    </w:p>
    <w:p w14:paraId="4C5B2AAE">
      <w:pPr>
        <w:pStyle w:val="3"/>
        <w:spacing w:before="0" w:after="0" w:line="360" w:lineRule="auto"/>
        <w:rPr>
          <w:rFonts w:ascii="Times New Roman" w:hAnsi="Times New Roman" w:eastAsia="宋体"/>
          <w:color w:val="000000" w:themeColor="text1"/>
          <w:sz w:val="21"/>
          <w:szCs w:val="21"/>
          <w14:textFill>
            <w14:solidFill>
              <w14:schemeClr w14:val="tx1"/>
            </w14:solidFill>
          </w14:textFill>
        </w:rPr>
      </w:pPr>
      <w:bookmarkStart w:id="414" w:name="_Toc151229426"/>
      <w:r>
        <w:rPr>
          <w:color w:val="000000" w:themeColor="text1"/>
          <w14:textFill>
            <w14:solidFill>
              <w14:schemeClr w14:val="tx1"/>
            </w14:solidFill>
          </w14:textFill>
        </w:rPr>
        <w:t>第三章 评标办法（综合评分法）</w:t>
      </w:r>
      <w:bookmarkEnd w:id="407"/>
      <w:bookmarkEnd w:id="408"/>
      <w:bookmarkEnd w:id="413"/>
      <w:bookmarkEnd w:id="414"/>
    </w:p>
    <w:p w14:paraId="6081333F">
      <w:pPr>
        <w:pStyle w:val="4"/>
        <w:keepNext/>
        <w:keepLines/>
        <w:pageBreakBefore w:val="0"/>
        <w:widowControl w:val="0"/>
        <w:kinsoku/>
        <w:wordWrap w:val="0"/>
        <w:overflowPunct/>
        <w:topLinePunct w:val="0"/>
        <w:autoSpaceDE/>
        <w:autoSpaceDN/>
        <w:bidi w:val="0"/>
        <w:adjustRightInd/>
        <w:snapToGrid/>
        <w:spacing w:before="0" w:after="0" w:line="480" w:lineRule="exact"/>
        <w:ind w:firstLine="422" w:firstLineChars="200"/>
        <w:jc w:val="left"/>
        <w:textAlignment w:val="auto"/>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本项目采用全程电子化及不见面开评标的模式，开标当日，投标人无需到达开标现场，仅需在任意地点通过盐城大丰开标大厅系统http://js.etrading.cn/EpointBidOpening/bidopeninghallaction/hall/login及相应的配套软硬件设备，完成远程解密、文件传输、提疑澄清、开标唱标、</w:t>
      </w:r>
      <w:r>
        <w:rPr>
          <w:rFonts w:hint="eastAsia" w:ascii="Times New Roman" w:hAnsi="Times New Roman" w:eastAsia="宋体"/>
          <w:color w:val="000000" w:themeColor="text1"/>
          <w:sz w:val="21"/>
          <w:szCs w:val="21"/>
          <w14:textFill>
            <w14:solidFill>
              <w14:schemeClr w14:val="tx1"/>
            </w14:solidFill>
          </w14:textFill>
        </w:rPr>
        <w:t>开标</w:t>
      </w:r>
      <w:r>
        <w:rPr>
          <w:rFonts w:ascii="Times New Roman" w:hAnsi="Times New Roman" w:eastAsia="宋体"/>
          <w:color w:val="000000" w:themeColor="text1"/>
          <w:sz w:val="21"/>
          <w:szCs w:val="21"/>
          <w14:textFill>
            <w14:solidFill>
              <w14:schemeClr w14:val="tx1"/>
            </w14:solidFill>
          </w14:textFill>
        </w:rPr>
        <w:t>结果公布等交互环节，具体内容和规定详见招标文件。</w:t>
      </w:r>
    </w:p>
    <w:p w14:paraId="5797D027">
      <w:pPr>
        <w:pStyle w:val="4"/>
        <w:spacing w:before="0" w:after="0" w:line="480" w:lineRule="exact"/>
        <w:ind w:firstLine="422" w:firstLineChars="200"/>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1.评标方法</w:t>
      </w:r>
    </w:p>
    <w:p w14:paraId="761940F4">
      <w:pPr>
        <w:autoSpaceDE w:val="0"/>
        <w:autoSpaceDN w:val="0"/>
        <w:spacing w:line="480" w:lineRule="exact"/>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本次评标采用综合评分法。评标委员会对满足招标文件实质性要求的投标文件，按照本招标文件规定的评分标准进行打分，并按</w:t>
      </w:r>
      <w:r>
        <w:rPr>
          <w:rFonts w:hint="eastAsia"/>
          <w:color w:val="000000" w:themeColor="text1"/>
          <w:kern w:val="0"/>
          <w:szCs w:val="21"/>
          <w14:textFill>
            <w14:solidFill>
              <w14:schemeClr w14:val="tx1"/>
            </w14:solidFill>
          </w14:textFill>
        </w:rPr>
        <w:t>最终</w:t>
      </w:r>
      <w:r>
        <w:rPr>
          <w:color w:val="000000" w:themeColor="text1"/>
          <w:kern w:val="0"/>
          <w:szCs w:val="21"/>
          <w14:textFill>
            <w14:solidFill>
              <w14:schemeClr w14:val="tx1"/>
            </w14:solidFill>
          </w14:textFill>
        </w:rPr>
        <w:t>得分由高到低顺序推荐</w:t>
      </w:r>
      <w:r>
        <w:rPr>
          <w:rFonts w:hint="eastAsia"/>
          <w:color w:val="000000" w:themeColor="text1"/>
          <w:kern w:val="0"/>
          <w:szCs w:val="21"/>
          <w:lang w:val="en-US" w:eastAsia="zh-CN"/>
          <w14:textFill>
            <w14:solidFill>
              <w14:schemeClr w14:val="tx1"/>
            </w14:solidFill>
          </w14:textFill>
        </w:rPr>
        <w:t>1名</w:t>
      </w:r>
      <w:r>
        <w:rPr>
          <w:color w:val="000000" w:themeColor="text1"/>
          <w:kern w:val="0"/>
          <w:szCs w:val="21"/>
          <w14:textFill>
            <w14:solidFill>
              <w14:schemeClr w14:val="tx1"/>
            </w14:solidFill>
          </w14:textFill>
        </w:rPr>
        <w:t>中标候选人。综合评分相等时，以投标报价低的优先；投标报价也相等的，由招标人抽签确定。最低报价及任何单项因素的最优均不是中标的必要条件。</w:t>
      </w:r>
    </w:p>
    <w:p w14:paraId="41DDDA36">
      <w:pPr>
        <w:pStyle w:val="4"/>
        <w:spacing w:before="0" w:after="0" w:line="480" w:lineRule="exact"/>
        <w:ind w:firstLine="422" w:firstLineChars="200"/>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2.评审标准</w:t>
      </w:r>
    </w:p>
    <w:p w14:paraId="77090FF9">
      <w:pPr>
        <w:spacing w:line="480" w:lineRule="exact"/>
        <w:ind w:firstLine="422" w:firstLineChars="200"/>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2.1 初步评审</w:t>
      </w:r>
    </w:p>
    <w:p w14:paraId="31B6B2CD">
      <w:pPr>
        <w:spacing w:line="480" w:lineRule="exact"/>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2.1.1形式评审标准</w:t>
      </w:r>
    </w:p>
    <w:p w14:paraId="48F63950">
      <w:pPr>
        <w:spacing w:line="4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对投标文件的有效性、完整性进行评审。</w:t>
      </w:r>
    </w:p>
    <w:tbl>
      <w:tblPr>
        <w:tblStyle w:val="48"/>
        <w:tblW w:w="467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913"/>
        <w:gridCol w:w="6766"/>
      </w:tblGrid>
      <w:tr w14:paraId="141E61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02" w:type="pct"/>
            <w:tcBorders>
              <w:top w:val="single" w:color="auto" w:sz="4" w:space="0"/>
              <w:left w:val="single" w:color="auto" w:sz="4" w:space="0"/>
              <w:bottom w:val="single" w:color="auto" w:sz="4" w:space="0"/>
              <w:right w:val="single" w:color="auto" w:sz="4" w:space="0"/>
            </w:tcBorders>
          </w:tcPr>
          <w:p w14:paraId="29019FE9">
            <w:pPr>
              <w:spacing w:line="48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评审因素</w:t>
            </w:r>
          </w:p>
        </w:tc>
        <w:tc>
          <w:tcPr>
            <w:tcW w:w="3898" w:type="pct"/>
            <w:tcBorders>
              <w:top w:val="single" w:color="auto" w:sz="4" w:space="0"/>
              <w:left w:val="single" w:color="auto" w:sz="4" w:space="0"/>
              <w:bottom w:val="single" w:color="auto" w:sz="4" w:space="0"/>
              <w:right w:val="single" w:color="auto" w:sz="4" w:space="0"/>
            </w:tcBorders>
          </w:tcPr>
          <w:p w14:paraId="3E606C0F">
            <w:pPr>
              <w:spacing w:line="48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评审标准</w:t>
            </w:r>
          </w:p>
        </w:tc>
      </w:tr>
      <w:tr w14:paraId="3731E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02" w:type="pct"/>
            <w:tcBorders>
              <w:top w:val="single" w:color="auto" w:sz="4" w:space="0"/>
              <w:left w:val="single" w:color="auto" w:sz="4" w:space="0"/>
              <w:bottom w:val="single" w:color="auto" w:sz="4" w:space="0"/>
              <w:right w:val="single" w:color="auto" w:sz="4" w:space="0"/>
            </w:tcBorders>
          </w:tcPr>
          <w:p w14:paraId="6C7E1540">
            <w:pPr>
              <w:spacing w:line="480" w:lineRule="exact"/>
              <w:jc w:val="center"/>
              <w:rPr>
                <w:b/>
                <w:color w:val="000000" w:themeColor="text1"/>
                <w:szCs w:val="21"/>
                <w14:textFill>
                  <w14:solidFill>
                    <w14:schemeClr w14:val="tx1"/>
                  </w14:solidFill>
                </w14:textFill>
              </w:rPr>
            </w:pPr>
            <w:r>
              <w:rPr>
                <w:color w:val="000000" w:themeColor="text1"/>
                <w:szCs w:val="21"/>
                <w14:textFill>
                  <w14:solidFill>
                    <w14:schemeClr w14:val="tx1"/>
                  </w14:solidFill>
                </w14:textFill>
              </w:rPr>
              <w:t>投标人名称</w:t>
            </w:r>
          </w:p>
        </w:tc>
        <w:tc>
          <w:tcPr>
            <w:tcW w:w="3898" w:type="pct"/>
            <w:tcBorders>
              <w:top w:val="single" w:color="auto" w:sz="4" w:space="0"/>
              <w:left w:val="single" w:color="auto" w:sz="4" w:space="0"/>
              <w:bottom w:val="single" w:color="auto" w:sz="4" w:space="0"/>
              <w:right w:val="single" w:color="auto" w:sz="4" w:space="0"/>
            </w:tcBorders>
            <w:vAlign w:val="center"/>
          </w:tcPr>
          <w:p w14:paraId="3C0216CF">
            <w:pPr>
              <w:spacing w:line="480" w:lineRule="exact"/>
              <w:rPr>
                <w:b/>
                <w:color w:val="000000" w:themeColor="text1"/>
                <w:szCs w:val="21"/>
                <w14:textFill>
                  <w14:solidFill>
                    <w14:schemeClr w14:val="tx1"/>
                  </w14:solidFill>
                </w14:textFill>
              </w:rPr>
            </w:pPr>
            <w:r>
              <w:rPr>
                <w:color w:val="000000" w:themeColor="text1"/>
                <w:szCs w:val="21"/>
                <w14:textFill>
                  <w14:solidFill>
                    <w14:schemeClr w14:val="tx1"/>
                  </w14:solidFill>
                </w14:textFill>
              </w:rPr>
              <w:t>与营业执照一致</w:t>
            </w:r>
          </w:p>
        </w:tc>
      </w:tr>
      <w:tr w14:paraId="11D9F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102" w:type="pct"/>
            <w:tcBorders>
              <w:top w:val="single" w:color="auto" w:sz="4" w:space="0"/>
              <w:left w:val="single" w:color="auto" w:sz="4" w:space="0"/>
              <w:bottom w:val="single" w:color="auto" w:sz="4" w:space="0"/>
              <w:right w:val="single" w:color="auto" w:sz="4" w:space="0"/>
            </w:tcBorders>
            <w:vAlign w:val="center"/>
          </w:tcPr>
          <w:p w14:paraId="10528ACA">
            <w:pPr>
              <w:spacing w:line="4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投标承诺函</w:t>
            </w:r>
          </w:p>
        </w:tc>
        <w:tc>
          <w:tcPr>
            <w:tcW w:w="3898" w:type="pct"/>
            <w:tcBorders>
              <w:top w:val="single" w:color="auto" w:sz="4" w:space="0"/>
              <w:left w:val="single" w:color="auto" w:sz="4" w:space="0"/>
              <w:bottom w:val="single" w:color="auto" w:sz="4" w:space="0"/>
              <w:right w:val="single" w:color="auto" w:sz="4" w:space="0"/>
            </w:tcBorders>
            <w:vAlign w:val="center"/>
          </w:tcPr>
          <w:p w14:paraId="49A31E9B">
            <w:pPr>
              <w:spacing w:line="48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有法定代表人或其委托代理人签</w:t>
            </w:r>
            <w:r>
              <w:rPr>
                <w:rFonts w:hint="eastAsia"/>
                <w:color w:val="000000" w:themeColor="text1"/>
                <w:szCs w:val="21"/>
                <w14:textFill>
                  <w14:solidFill>
                    <w14:schemeClr w14:val="tx1"/>
                  </w14:solidFill>
                </w14:textFill>
              </w:rPr>
              <w:t>名</w:t>
            </w:r>
            <w:r>
              <w:rPr>
                <w:color w:val="000000" w:themeColor="text1"/>
                <w:szCs w:val="21"/>
                <w14:textFill>
                  <w14:solidFill>
                    <w14:schemeClr w14:val="tx1"/>
                  </w14:solidFill>
                </w14:textFill>
              </w:rPr>
              <w:t>(或盖章)并加盖投标单位公章</w:t>
            </w:r>
          </w:p>
        </w:tc>
      </w:tr>
      <w:tr w14:paraId="1335D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102" w:type="pct"/>
            <w:tcBorders>
              <w:top w:val="single" w:color="auto" w:sz="4" w:space="0"/>
              <w:left w:val="single" w:color="auto" w:sz="4" w:space="0"/>
              <w:bottom w:val="single" w:color="auto" w:sz="4" w:space="0"/>
              <w:right w:val="single" w:color="auto" w:sz="4" w:space="0"/>
            </w:tcBorders>
          </w:tcPr>
          <w:p w14:paraId="719DBE23">
            <w:pPr>
              <w:spacing w:line="4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授权委托书</w:t>
            </w:r>
          </w:p>
        </w:tc>
        <w:tc>
          <w:tcPr>
            <w:tcW w:w="3898" w:type="pct"/>
            <w:tcBorders>
              <w:top w:val="single" w:color="auto" w:sz="4" w:space="0"/>
              <w:left w:val="single" w:color="auto" w:sz="4" w:space="0"/>
              <w:bottom w:val="single" w:color="auto" w:sz="4" w:space="0"/>
              <w:right w:val="single" w:color="auto" w:sz="4" w:space="0"/>
            </w:tcBorders>
            <w:vAlign w:val="center"/>
          </w:tcPr>
          <w:p w14:paraId="4B944C09">
            <w:pPr>
              <w:spacing w:line="48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有法定代表人签</w:t>
            </w:r>
            <w:r>
              <w:rPr>
                <w:rFonts w:hint="eastAsia"/>
                <w:color w:val="000000" w:themeColor="text1"/>
                <w:szCs w:val="21"/>
                <w14:textFill>
                  <w14:solidFill>
                    <w14:schemeClr w14:val="tx1"/>
                  </w14:solidFill>
                </w14:textFill>
              </w:rPr>
              <w:t>名</w:t>
            </w:r>
            <w:r>
              <w:rPr>
                <w:color w:val="000000" w:themeColor="text1"/>
                <w:szCs w:val="21"/>
                <w14:textFill>
                  <w14:solidFill>
                    <w14:schemeClr w14:val="tx1"/>
                  </w14:solidFill>
                </w14:textFill>
              </w:rPr>
              <w:t>(或盖章)并加盖投标单位公章</w:t>
            </w:r>
          </w:p>
        </w:tc>
      </w:tr>
      <w:tr w14:paraId="1343A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1102" w:type="pct"/>
            <w:tcBorders>
              <w:top w:val="single" w:color="auto" w:sz="4" w:space="0"/>
              <w:left w:val="single" w:color="auto" w:sz="4" w:space="0"/>
              <w:bottom w:val="single" w:color="auto" w:sz="4" w:space="0"/>
              <w:right w:val="single" w:color="auto" w:sz="4" w:space="0"/>
            </w:tcBorders>
            <w:vAlign w:val="center"/>
          </w:tcPr>
          <w:p w14:paraId="129C33BE">
            <w:pPr>
              <w:spacing w:line="4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报价唯一</w:t>
            </w:r>
          </w:p>
        </w:tc>
        <w:tc>
          <w:tcPr>
            <w:tcW w:w="3898" w:type="pct"/>
            <w:tcBorders>
              <w:top w:val="single" w:color="auto" w:sz="4" w:space="0"/>
              <w:left w:val="single" w:color="auto" w:sz="4" w:space="0"/>
              <w:bottom w:val="single" w:color="auto" w:sz="4" w:space="0"/>
              <w:right w:val="single" w:color="auto" w:sz="4" w:space="0"/>
            </w:tcBorders>
            <w:vAlign w:val="center"/>
          </w:tcPr>
          <w:p w14:paraId="0D79C33D">
            <w:pPr>
              <w:spacing w:line="48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只能有一个有效报价</w:t>
            </w:r>
          </w:p>
        </w:tc>
      </w:tr>
    </w:tbl>
    <w:p w14:paraId="262AD96A">
      <w:pPr>
        <w:spacing w:line="480" w:lineRule="exact"/>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2.1.2资格审查（资格后审）</w:t>
      </w:r>
    </w:p>
    <w:p w14:paraId="54E387AE">
      <w:pPr>
        <w:spacing w:line="4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评标委员会对通过上一阶段评审的投标人资格对照招标文件投标</w:t>
      </w:r>
      <w:r>
        <w:rPr>
          <w:rFonts w:hint="eastAsia"/>
          <w:color w:val="000000" w:themeColor="text1"/>
          <w:szCs w:val="21"/>
          <w14:textFill>
            <w14:solidFill>
              <w14:schemeClr w14:val="tx1"/>
            </w14:solidFill>
          </w14:textFill>
        </w:rPr>
        <w:t>人</w:t>
      </w:r>
      <w:r>
        <w:rPr>
          <w:color w:val="000000" w:themeColor="text1"/>
          <w:szCs w:val="21"/>
          <w14:textFill>
            <w14:solidFill>
              <w14:schemeClr w14:val="tx1"/>
            </w14:solidFill>
          </w14:textFill>
        </w:rPr>
        <w:t>须知第3.5项的规定要求进行审查，只有通过资格审查的投标人方可进行下一阶段的评审。</w:t>
      </w:r>
    </w:p>
    <w:p w14:paraId="37D905B0">
      <w:pPr>
        <w:spacing w:line="480" w:lineRule="exact"/>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2.1.3 响应性审查</w:t>
      </w:r>
    </w:p>
    <w:p w14:paraId="1713302F">
      <w:pPr>
        <w:spacing w:line="480" w:lineRule="exact"/>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对招标文件要求的</w:t>
      </w:r>
      <w:r>
        <w:rPr>
          <w:rFonts w:hint="eastAsia"/>
          <w:color w:val="000000" w:themeColor="text1"/>
          <w:szCs w:val="21"/>
          <w14:textFill>
            <w14:solidFill>
              <w14:schemeClr w14:val="tx1"/>
            </w14:solidFill>
          </w14:textFill>
        </w:rPr>
        <w:t>合同履行期限</w:t>
      </w:r>
      <w:r>
        <w:rPr>
          <w:color w:val="000000" w:themeColor="text1"/>
          <w:szCs w:val="21"/>
          <w14:textFill>
            <w14:solidFill>
              <w14:schemeClr w14:val="tx1"/>
            </w14:solidFill>
          </w14:textFill>
        </w:rPr>
        <w:t>、质量标准、投标有效期、投标报价等实质性要求的响应性进行评审。</w:t>
      </w:r>
    </w:p>
    <w:tbl>
      <w:tblPr>
        <w:tblStyle w:val="48"/>
        <w:tblW w:w="4821"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304"/>
        <w:gridCol w:w="5644"/>
      </w:tblGrid>
      <w:tr w14:paraId="45ECB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46" w:type="pct"/>
            <w:tcBorders>
              <w:top w:val="single" w:color="auto" w:sz="4" w:space="0"/>
              <w:left w:val="single" w:color="auto" w:sz="4" w:space="0"/>
              <w:bottom w:val="single" w:color="auto" w:sz="4" w:space="0"/>
              <w:right w:val="single" w:color="auto" w:sz="4" w:space="0"/>
            </w:tcBorders>
          </w:tcPr>
          <w:p w14:paraId="562C40C2">
            <w:pPr>
              <w:spacing w:line="48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评审因素</w:t>
            </w:r>
          </w:p>
        </w:tc>
        <w:tc>
          <w:tcPr>
            <w:tcW w:w="3154" w:type="pct"/>
            <w:tcBorders>
              <w:top w:val="single" w:color="auto" w:sz="4" w:space="0"/>
              <w:left w:val="single" w:color="auto" w:sz="4" w:space="0"/>
              <w:bottom w:val="single" w:color="auto" w:sz="4" w:space="0"/>
              <w:right w:val="single" w:color="auto" w:sz="4" w:space="0"/>
            </w:tcBorders>
          </w:tcPr>
          <w:p w14:paraId="7ABD2977">
            <w:pPr>
              <w:spacing w:line="48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评审标准</w:t>
            </w:r>
          </w:p>
        </w:tc>
      </w:tr>
      <w:tr w14:paraId="405A1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46" w:type="pct"/>
            <w:tcBorders>
              <w:top w:val="single" w:color="auto" w:sz="4" w:space="0"/>
              <w:left w:val="single" w:color="auto" w:sz="4" w:space="0"/>
              <w:bottom w:val="single" w:color="auto" w:sz="4" w:space="0"/>
              <w:right w:val="single" w:color="auto" w:sz="4" w:space="0"/>
            </w:tcBorders>
          </w:tcPr>
          <w:p w14:paraId="250F6DA1">
            <w:pPr>
              <w:spacing w:line="480" w:lineRule="exact"/>
              <w:jc w:val="center"/>
              <w:rPr>
                <w:b/>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合同履行期限</w:t>
            </w:r>
          </w:p>
        </w:tc>
        <w:tc>
          <w:tcPr>
            <w:tcW w:w="3154" w:type="pct"/>
            <w:tcBorders>
              <w:top w:val="single" w:color="auto" w:sz="4" w:space="0"/>
              <w:left w:val="single" w:color="auto" w:sz="4" w:space="0"/>
              <w:bottom w:val="single" w:color="auto" w:sz="4" w:space="0"/>
              <w:right w:val="single" w:color="auto" w:sz="4" w:space="0"/>
            </w:tcBorders>
          </w:tcPr>
          <w:p w14:paraId="5BED797A">
            <w:pPr>
              <w:spacing w:line="480" w:lineRule="exact"/>
              <w:jc w:val="left"/>
              <w:rPr>
                <w:b/>
                <w:color w:val="000000" w:themeColor="text1"/>
                <w:szCs w:val="21"/>
                <w14:textFill>
                  <w14:solidFill>
                    <w14:schemeClr w14:val="tx1"/>
                  </w14:solidFill>
                </w14:textFill>
              </w:rPr>
            </w:pPr>
            <w:r>
              <w:rPr>
                <w:color w:val="000000" w:themeColor="text1"/>
                <w:szCs w:val="21"/>
                <w14:textFill>
                  <w14:solidFill>
                    <w14:schemeClr w14:val="tx1"/>
                  </w14:solidFill>
                </w14:textFill>
              </w:rPr>
              <w:t>符合招标文件相关约定</w:t>
            </w:r>
            <w:r>
              <w:rPr>
                <w:rFonts w:hint="eastAsia"/>
                <w:color w:val="000000" w:themeColor="text1"/>
                <w:szCs w:val="21"/>
                <w14:textFill>
                  <w14:solidFill>
                    <w14:schemeClr w14:val="tx1"/>
                  </w14:solidFill>
                </w14:textFill>
              </w:rPr>
              <w:t>。</w:t>
            </w:r>
          </w:p>
        </w:tc>
      </w:tr>
      <w:tr w14:paraId="494E23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46" w:type="pct"/>
            <w:tcBorders>
              <w:top w:val="single" w:color="auto" w:sz="4" w:space="0"/>
              <w:left w:val="single" w:color="auto" w:sz="4" w:space="0"/>
              <w:bottom w:val="single" w:color="auto" w:sz="4" w:space="0"/>
              <w:right w:val="single" w:color="auto" w:sz="4" w:space="0"/>
            </w:tcBorders>
          </w:tcPr>
          <w:p w14:paraId="5BE9898C">
            <w:pPr>
              <w:spacing w:line="480" w:lineRule="exact"/>
              <w:jc w:val="center"/>
              <w:rPr>
                <w:b/>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质量标准</w:t>
            </w:r>
          </w:p>
        </w:tc>
        <w:tc>
          <w:tcPr>
            <w:tcW w:w="3154" w:type="pct"/>
            <w:tcBorders>
              <w:top w:val="single" w:color="auto" w:sz="4" w:space="0"/>
              <w:left w:val="single" w:color="auto" w:sz="4" w:space="0"/>
              <w:bottom w:val="single" w:color="auto" w:sz="4" w:space="0"/>
              <w:right w:val="single" w:color="auto" w:sz="4" w:space="0"/>
            </w:tcBorders>
          </w:tcPr>
          <w:p w14:paraId="294EA64A">
            <w:pPr>
              <w:spacing w:line="480" w:lineRule="exact"/>
              <w:jc w:val="left"/>
              <w:rPr>
                <w:b/>
                <w:color w:val="000000" w:themeColor="text1"/>
                <w:szCs w:val="21"/>
                <w14:textFill>
                  <w14:solidFill>
                    <w14:schemeClr w14:val="tx1"/>
                  </w14:solidFill>
                </w14:textFill>
              </w:rPr>
            </w:pPr>
            <w:r>
              <w:rPr>
                <w:color w:val="000000" w:themeColor="text1"/>
                <w:szCs w:val="21"/>
                <w14:textFill>
                  <w14:solidFill>
                    <w14:schemeClr w14:val="tx1"/>
                  </w14:solidFill>
                </w14:textFill>
              </w:rPr>
              <w:t>符合招标文件相关约定</w:t>
            </w:r>
            <w:r>
              <w:rPr>
                <w:rFonts w:hint="eastAsia"/>
                <w:color w:val="000000" w:themeColor="text1"/>
                <w:szCs w:val="21"/>
                <w14:textFill>
                  <w14:solidFill>
                    <w14:schemeClr w14:val="tx1"/>
                  </w14:solidFill>
                </w14:textFill>
              </w:rPr>
              <w:t>。</w:t>
            </w:r>
          </w:p>
        </w:tc>
      </w:tr>
      <w:tr w14:paraId="2AC42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46" w:type="pct"/>
            <w:tcBorders>
              <w:top w:val="single" w:color="auto" w:sz="4" w:space="0"/>
              <w:left w:val="single" w:color="auto" w:sz="4" w:space="0"/>
              <w:bottom w:val="single" w:color="auto" w:sz="4" w:space="0"/>
              <w:right w:val="single" w:color="auto" w:sz="4" w:space="0"/>
            </w:tcBorders>
          </w:tcPr>
          <w:p w14:paraId="55C6DF0C">
            <w:pPr>
              <w:spacing w:line="480" w:lineRule="exact"/>
              <w:jc w:val="center"/>
              <w:rPr>
                <w:b/>
                <w:color w:val="000000" w:themeColor="text1"/>
                <w:szCs w:val="21"/>
                <w14:textFill>
                  <w14:solidFill>
                    <w14:schemeClr w14:val="tx1"/>
                  </w14:solidFill>
                </w14:textFill>
              </w:rPr>
            </w:pPr>
            <w:r>
              <w:rPr>
                <w:color w:val="000000" w:themeColor="text1"/>
                <w:szCs w:val="21"/>
                <w14:textFill>
                  <w14:solidFill>
                    <w14:schemeClr w14:val="tx1"/>
                  </w14:solidFill>
                </w14:textFill>
              </w:rPr>
              <w:t>投标有效期</w:t>
            </w:r>
          </w:p>
        </w:tc>
        <w:tc>
          <w:tcPr>
            <w:tcW w:w="3154" w:type="pct"/>
            <w:tcBorders>
              <w:top w:val="single" w:color="auto" w:sz="4" w:space="0"/>
              <w:left w:val="single" w:color="auto" w:sz="4" w:space="0"/>
              <w:bottom w:val="single" w:color="auto" w:sz="4" w:space="0"/>
              <w:right w:val="single" w:color="auto" w:sz="4" w:space="0"/>
            </w:tcBorders>
          </w:tcPr>
          <w:p w14:paraId="4967B629">
            <w:pPr>
              <w:spacing w:line="480" w:lineRule="exact"/>
              <w:jc w:val="left"/>
              <w:rPr>
                <w:b/>
                <w:color w:val="000000" w:themeColor="text1"/>
                <w:szCs w:val="21"/>
                <w14:textFill>
                  <w14:solidFill>
                    <w14:schemeClr w14:val="tx1"/>
                  </w14:solidFill>
                </w14:textFill>
              </w:rPr>
            </w:pPr>
            <w:r>
              <w:rPr>
                <w:color w:val="000000" w:themeColor="text1"/>
                <w:szCs w:val="21"/>
                <w14:textFill>
                  <w14:solidFill>
                    <w14:schemeClr w14:val="tx1"/>
                  </w14:solidFill>
                </w14:textFill>
              </w:rPr>
              <w:t>符合招标文件相关约定</w:t>
            </w:r>
            <w:r>
              <w:rPr>
                <w:rFonts w:hint="eastAsia"/>
                <w:color w:val="000000" w:themeColor="text1"/>
                <w:szCs w:val="21"/>
                <w14:textFill>
                  <w14:solidFill>
                    <w14:schemeClr w14:val="tx1"/>
                  </w14:solidFill>
                </w14:textFill>
              </w:rPr>
              <w:t>。</w:t>
            </w:r>
          </w:p>
        </w:tc>
      </w:tr>
      <w:tr w14:paraId="459A81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46" w:type="pct"/>
            <w:tcBorders>
              <w:top w:val="single" w:color="auto" w:sz="4" w:space="0"/>
              <w:left w:val="single" w:color="auto" w:sz="4" w:space="0"/>
              <w:bottom w:val="single" w:color="auto" w:sz="4" w:space="0"/>
              <w:right w:val="single" w:color="auto" w:sz="4" w:space="0"/>
            </w:tcBorders>
          </w:tcPr>
          <w:p w14:paraId="41C59C00">
            <w:pPr>
              <w:spacing w:line="480" w:lineRule="exact"/>
              <w:jc w:val="center"/>
              <w:rPr>
                <w:b/>
                <w:color w:val="000000" w:themeColor="text1"/>
                <w:szCs w:val="21"/>
                <w14:textFill>
                  <w14:solidFill>
                    <w14:schemeClr w14:val="tx1"/>
                  </w14:solidFill>
                </w14:textFill>
              </w:rPr>
            </w:pPr>
            <w:r>
              <w:rPr>
                <w:color w:val="000000" w:themeColor="text1"/>
                <w:szCs w:val="21"/>
                <w14:textFill>
                  <w14:solidFill>
                    <w14:schemeClr w14:val="tx1"/>
                  </w14:solidFill>
                </w14:textFill>
              </w:rPr>
              <w:t>投标</w:t>
            </w:r>
            <w:r>
              <w:rPr>
                <w:rFonts w:hint="eastAsia"/>
                <w:color w:val="000000" w:themeColor="text1"/>
                <w:szCs w:val="21"/>
                <w14:textFill>
                  <w14:solidFill>
                    <w14:schemeClr w14:val="tx1"/>
                  </w14:solidFill>
                </w14:textFill>
              </w:rPr>
              <w:t>报价</w:t>
            </w:r>
          </w:p>
        </w:tc>
        <w:tc>
          <w:tcPr>
            <w:tcW w:w="3154" w:type="pct"/>
            <w:tcBorders>
              <w:top w:val="single" w:color="auto" w:sz="4" w:space="0"/>
              <w:left w:val="single" w:color="auto" w:sz="4" w:space="0"/>
              <w:bottom w:val="single" w:color="auto" w:sz="4" w:space="0"/>
              <w:right w:val="single" w:color="auto" w:sz="4" w:space="0"/>
            </w:tcBorders>
          </w:tcPr>
          <w:p w14:paraId="54FE94AD">
            <w:pPr>
              <w:spacing w:line="48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符合招标文件相关约定</w:t>
            </w:r>
            <w:r>
              <w:rPr>
                <w:rFonts w:hint="eastAsia"/>
                <w:color w:val="000000" w:themeColor="text1"/>
                <w:szCs w:val="21"/>
                <w14:textFill>
                  <w14:solidFill>
                    <w14:schemeClr w14:val="tx1"/>
                  </w14:solidFill>
                </w14:textFill>
              </w:rPr>
              <w:t>。</w:t>
            </w:r>
          </w:p>
        </w:tc>
      </w:tr>
      <w:tr w14:paraId="5ABFA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46" w:type="pct"/>
            <w:tcBorders>
              <w:top w:val="single" w:color="auto" w:sz="4" w:space="0"/>
              <w:left w:val="single" w:color="auto" w:sz="4" w:space="0"/>
              <w:bottom w:val="single" w:color="auto" w:sz="4" w:space="0"/>
              <w:right w:val="single" w:color="auto" w:sz="4" w:space="0"/>
            </w:tcBorders>
          </w:tcPr>
          <w:p w14:paraId="535A4408">
            <w:pPr>
              <w:spacing w:line="4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其他要求</w:t>
            </w:r>
          </w:p>
        </w:tc>
        <w:tc>
          <w:tcPr>
            <w:tcW w:w="3154" w:type="pct"/>
            <w:tcBorders>
              <w:top w:val="single" w:color="auto" w:sz="4" w:space="0"/>
              <w:left w:val="single" w:color="auto" w:sz="4" w:space="0"/>
              <w:bottom w:val="single" w:color="auto" w:sz="4" w:space="0"/>
              <w:right w:val="single" w:color="auto" w:sz="4" w:space="0"/>
            </w:tcBorders>
          </w:tcPr>
          <w:p w14:paraId="48F0D8F2">
            <w:pPr>
              <w:spacing w:line="460" w:lineRule="exact"/>
              <w:rPr>
                <w:rFonts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符合招标文件相关约定</w:t>
            </w:r>
            <w:r>
              <w:rPr>
                <w:rFonts w:hint="eastAsia"/>
                <w:color w:val="000000" w:themeColor="text1"/>
                <w:szCs w:val="21"/>
                <w14:textFill>
                  <w14:solidFill>
                    <w14:schemeClr w14:val="tx1"/>
                  </w14:solidFill>
                </w14:textFill>
              </w:rPr>
              <w:t>。</w:t>
            </w:r>
          </w:p>
        </w:tc>
      </w:tr>
    </w:tbl>
    <w:p w14:paraId="05818087">
      <w:pPr>
        <w:pStyle w:val="5"/>
        <w:spacing w:before="0" w:after="0" w:line="460" w:lineRule="exact"/>
        <w:ind w:firstLine="135" w:firstLineChars="64"/>
        <w:rPr>
          <w:rFonts w:hAnsi="Times New Roman" w:eastAsia="宋体"/>
          <w:color w:val="000000" w:themeColor="text1"/>
          <w:sz w:val="21"/>
          <w:szCs w:val="21"/>
          <w14:textFill>
            <w14:solidFill>
              <w14:schemeClr w14:val="tx1"/>
            </w14:solidFill>
          </w14:textFill>
        </w:rPr>
      </w:pPr>
      <w:r>
        <w:rPr>
          <w:rFonts w:hAnsi="Times New Roman" w:eastAsia="宋体"/>
          <w:b/>
          <w:bCs/>
          <w:color w:val="000000" w:themeColor="text1"/>
          <w:sz w:val="21"/>
          <w:szCs w:val="21"/>
          <w14:textFill>
            <w14:solidFill>
              <w14:schemeClr w14:val="tx1"/>
            </w14:solidFill>
          </w14:textFill>
        </w:rPr>
        <w:t>2.2 详细评审（100分）</w:t>
      </w:r>
    </w:p>
    <w:tbl>
      <w:tblPr>
        <w:tblStyle w:val="48"/>
        <w:tblW w:w="10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539"/>
        <w:gridCol w:w="766"/>
        <w:gridCol w:w="7419"/>
      </w:tblGrid>
      <w:tr w14:paraId="4C72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579" w:type="dxa"/>
            <w:vAlign w:val="center"/>
          </w:tcPr>
          <w:p w14:paraId="542C68D3">
            <w:pPr>
              <w:spacing w:line="320" w:lineRule="exact"/>
              <w:jc w:val="center"/>
              <w:rPr>
                <w:b/>
                <w:color w:val="000000" w:themeColor="text1"/>
                <w:szCs w:val="21"/>
                <w:lang w:val="zh-CN"/>
                <w14:textFill>
                  <w14:solidFill>
                    <w14:schemeClr w14:val="tx1"/>
                  </w14:solidFill>
                </w14:textFill>
              </w:rPr>
            </w:pPr>
            <w:r>
              <w:rPr>
                <w:b/>
                <w:color w:val="000000" w:themeColor="text1"/>
                <w:szCs w:val="21"/>
                <w:lang w:val="zh-CN"/>
                <w14:textFill>
                  <w14:solidFill>
                    <w14:schemeClr w14:val="tx1"/>
                  </w14:solidFill>
                </w14:textFill>
              </w:rPr>
              <w:t>序号</w:t>
            </w:r>
          </w:p>
        </w:tc>
        <w:tc>
          <w:tcPr>
            <w:tcW w:w="1539" w:type="dxa"/>
            <w:vAlign w:val="center"/>
          </w:tcPr>
          <w:p w14:paraId="46BE3FD1">
            <w:pPr>
              <w:spacing w:line="320" w:lineRule="exact"/>
              <w:jc w:val="center"/>
              <w:rPr>
                <w:b/>
                <w:color w:val="000000" w:themeColor="text1"/>
                <w:szCs w:val="21"/>
                <w:lang w:val="zh-CN"/>
                <w14:textFill>
                  <w14:solidFill>
                    <w14:schemeClr w14:val="tx1"/>
                  </w14:solidFill>
                </w14:textFill>
              </w:rPr>
            </w:pPr>
            <w:r>
              <w:rPr>
                <w:b/>
                <w:color w:val="000000" w:themeColor="text1"/>
                <w:szCs w:val="21"/>
                <w:lang w:val="zh-CN"/>
                <w14:textFill>
                  <w14:solidFill>
                    <w14:schemeClr w14:val="tx1"/>
                  </w14:solidFill>
                </w14:textFill>
              </w:rPr>
              <w:t>评分因素</w:t>
            </w:r>
          </w:p>
        </w:tc>
        <w:tc>
          <w:tcPr>
            <w:tcW w:w="766" w:type="dxa"/>
            <w:vAlign w:val="center"/>
          </w:tcPr>
          <w:p w14:paraId="0BA3149D">
            <w:pPr>
              <w:spacing w:line="480" w:lineRule="exact"/>
              <w:jc w:val="center"/>
              <w:rPr>
                <w:b/>
                <w:color w:val="000000" w:themeColor="text1"/>
                <w:szCs w:val="21"/>
                <w:lang w:val="zh-CN"/>
                <w14:textFill>
                  <w14:solidFill>
                    <w14:schemeClr w14:val="tx1"/>
                  </w14:solidFill>
                </w14:textFill>
              </w:rPr>
            </w:pPr>
            <w:r>
              <w:rPr>
                <w:b/>
                <w:color w:val="000000" w:themeColor="text1"/>
                <w:szCs w:val="21"/>
                <w:lang w:val="zh-CN"/>
                <w14:textFill>
                  <w14:solidFill>
                    <w14:schemeClr w14:val="tx1"/>
                  </w14:solidFill>
                </w14:textFill>
              </w:rPr>
              <w:t>分值</w:t>
            </w:r>
          </w:p>
        </w:tc>
        <w:tc>
          <w:tcPr>
            <w:tcW w:w="7419" w:type="dxa"/>
            <w:vAlign w:val="center"/>
          </w:tcPr>
          <w:p w14:paraId="0A5A7CCB">
            <w:pPr>
              <w:spacing w:line="480" w:lineRule="exact"/>
              <w:jc w:val="center"/>
              <w:rPr>
                <w:b/>
                <w:color w:val="000000" w:themeColor="text1"/>
                <w:szCs w:val="21"/>
                <w:lang w:val="zh-CN"/>
                <w14:textFill>
                  <w14:solidFill>
                    <w14:schemeClr w14:val="tx1"/>
                  </w14:solidFill>
                </w14:textFill>
              </w:rPr>
            </w:pPr>
            <w:r>
              <w:rPr>
                <w:b/>
                <w:color w:val="000000" w:themeColor="text1"/>
                <w:szCs w:val="21"/>
                <w:lang w:val="zh-CN"/>
                <w14:textFill>
                  <w14:solidFill>
                    <w14:schemeClr w14:val="tx1"/>
                  </w14:solidFill>
                </w14:textFill>
              </w:rPr>
              <w:t>评分标准</w:t>
            </w:r>
          </w:p>
        </w:tc>
      </w:tr>
      <w:tr w14:paraId="5F3B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579" w:type="dxa"/>
            <w:vAlign w:val="center"/>
          </w:tcPr>
          <w:p w14:paraId="50B2153E">
            <w:pPr>
              <w:spacing w:line="480" w:lineRule="exact"/>
              <w:ind w:firstLine="28"/>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539" w:type="dxa"/>
            <w:vAlign w:val="center"/>
          </w:tcPr>
          <w:p w14:paraId="5AE5D77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价格</w:t>
            </w:r>
          </w:p>
          <w:p w14:paraId="3E88F32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评审</w:t>
            </w:r>
          </w:p>
        </w:tc>
        <w:tc>
          <w:tcPr>
            <w:tcW w:w="766" w:type="dxa"/>
            <w:vAlign w:val="center"/>
          </w:tcPr>
          <w:p w14:paraId="26E54570">
            <w:pPr>
              <w:spacing w:line="48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50</w:t>
            </w:r>
          </w:p>
        </w:tc>
        <w:tc>
          <w:tcPr>
            <w:tcW w:w="7419" w:type="dxa"/>
            <w:vAlign w:val="center"/>
          </w:tcPr>
          <w:p w14:paraId="7102BA4D">
            <w:pPr>
              <w:keepNext w:val="0"/>
              <w:keepLines w:val="0"/>
              <w:pageBreakBefore w:val="0"/>
              <w:widowControl/>
              <w:kinsoku/>
              <w:wordWrap/>
              <w:overflowPunct/>
              <w:topLinePunct w:val="0"/>
              <w:bidi w:val="0"/>
              <w:adjustRightInd/>
              <w:snapToGrid w:val="0"/>
              <w:spacing w:line="380" w:lineRule="atLeast"/>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投标报价等于评标基准价的得</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分，投标报价每低于评标基准价1%扣0.1分，每高于评标基准价1%扣0.</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分，不足1%的按插入法计算。</w:t>
            </w:r>
          </w:p>
          <w:p w14:paraId="1A78E4BB">
            <w:pPr>
              <w:keepNext w:val="0"/>
              <w:keepLines w:val="0"/>
              <w:pageBreakBefore w:val="0"/>
              <w:kinsoku/>
              <w:wordWrap/>
              <w:overflowPunct/>
              <w:topLinePunct w:val="0"/>
              <w:autoSpaceDE w:val="0"/>
              <w:autoSpaceDN w:val="0"/>
              <w:bidi w:val="0"/>
              <w:adjustRightInd/>
              <w:spacing w:line="380" w:lineRule="atLeast"/>
              <w:textAlignment w:val="auto"/>
              <w:rPr>
                <w:rFonts w:hint="eastAsia" w:ascii="宋体" w:hAnsi="宋体" w:eastAsia="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评标基准价：以有效投标文件的评标价算术平均值为评标基准价</w:t>
            </w:r>
            <w:r>
              <w:rPr>
                <w:rFonts w:hint="eastAsia" w:ascii="宋体" w:hAnsi="宋体" w:cs="宋体"/>
                <w:color w:val="000000" w:themeColor="text1"/>
                <w:szCs w:val="21"/>
                <w:lang w:eastAsia="zh-CN"/>
                <w14:textFill>
                  <w14:solidFill>
                    <w14:schemeClr w14:val="tx1"/>
                  </w14:solidFill>
                </w14:textFill>
              </w:rPr>
              <w:t>。</w:t>
            </w:r>
          </w:p>
        </w:tc>
      </w:tr>
      <w:tr w14:paraId="61F4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579" w:type="dxa"/>
            <w:vMerge w:val="restart"/>
            <w:vAlign w:val="center"/>
          </w:tcPr>
          <w:p w14:paraId="074BA008">
            <w:pPr>
              <w:spacing w:line="4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1539" w:type="dxa"/>
            <w:vMerge w:val="restart"/>
            <w:vAlign w:val="center"/>
          </w:tcPr>
          <w:p w14:paraId="7B46F8AB">
            <w:pPr>
              <w:pStyle w:val="2"/>
              <w:ind w:firstLine="0"/>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方案</w:t>
            </w:r>
            <w:r>
              <w:rPr>
                <w:rFonts w:hint="eastAsia"/>
                <w:color w:val="000000" w:themeColor="text1"/>
                <w:szCs w:val="21"/>
                <w14:textFill>
                  <w14:solidFill>
                    <w14:schemeClr w14:val="tx1"/>
                  </w14:solidFill>
                </w14:textFill>
              </w:rPr>
              <w:t>文件</w:t>
            </w:r>
          </w:p>
          <w:p w14:paraId="6CBEA6F0">
            <w:pPr>
              <w:pStyle w:val="2"/>
              <w:ind w:firstLine="0"/>
              <w:jc w:val="center"/>
              <w:rPr>
                <w:color w:val="000000" w:themeColor="text1"/>
                <w:szCs w:val="21"/>
                <w14:textFill>
                  <w14:solidFill>
                    <w14:schemeClr w14:val="tx1"/>
                  </w14:solidFill>
                </w14:textFill>
              </w:rPr>
            </w:pPr>
          </w:p>
        </w:tc>
        <w:tc>
          <w:tcPr>
            <w:tcW w:w="766" w:type="dxa"/>
            <w:vAlign w:val="center"/>
          </w:tcPr>
          <w:p w14:paraId="691737E7">
            <w:pPr>
              <w:spacing w:line="480" w:lineRule="exact"/>
              <w:jc w:val="center"/>
              <w:rPr>
                <w:rFonts w:hint="default" w:eastAsia="宋体"/>
                <w:color w:val="000000" w:themeColor="text1"/>
                <w:szCs w:val="21"/>
                <w:highlight w:val="yellow"/>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6</w:t>
            </w:r>
          </w:p>
        </w:tc>
        <w:tc>
          <w:tcPr>
            <w:tcW w:w="7419" w:type="dxa"/>
            <w:vAlign w:val="center"/>
          </w:tcPr>
          <w:p w14:paraId="780EC4BB">
            <w:pPr>
              <w:pStyle w:val="161"/>
              <w:pageBreakBefore w:val="0"/>
              <w:widowControl/>
              <w:numPr>
                <w:ilvl w:val="0"/>
                <w:numId w:val="0"/>
              </w:numPr>
              <w:kinsoku/>
              <w:wordWrap/>
              <w:overflowPunct/>
              <w:topLinePunct w:val="0"/>
              <w:autoSpaceDE/>
              <w:autoSpaceDN/>
              <w:bidi w:val="0"/>
              <w:adjustRightInd/>
              <w:snapToGrid w:val="0"/>
              <w:spacing w:line="380" w:lineRule="atLeast"/>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需求理解（</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分）</w:t>
            </w:r>
          </w:p>
          <w:p w14:paraId="28BE333A">
            <w:pPr>
              <w:pStyle w:val="161"/>
              <w:pageBreakBefore w:val="0"/>
              <w:widowControl/>
              <w:kinsoku/>
              <w:wordWrap/>
              <w:overflowPunct/>
              <w:topLinePunct w:val="0"/>
              <w:autoSpaceDE/>
              <w:autoSpaceDN/>
              <w:bidi w:val="0"/>
              <w:adjustRightInd/>
              <w:snapToGrid w:val="0"/>
              <w:spacing w:line="380" w:lineRule="atLeast"/>
              <w:ind w:firstLine="0" w:firstLineChars="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对本项目的重点、难点 进行分析并提出应对措施和合理化建议等进行综合评分。描述及理解全面完整、清晰准确的得 </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 xml:space="preserve">分；需求理解较为完整、基本准确的得 </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3.9分</w:t>
            </w:r>
            <w:r>
              <w:rPr>
                <w:rFonts w:hint="eastAsia" w:ascii="宋体" w:hAnsi="宋体" w:cs="宋体"/>
                <w:color w:val="000000" w:themeColor="text1"/>
                <w:szCs w:val="21"/>
                <w14:textFill>
                  <w14:solidFill>
                    <w14:schemeClr w14:val="tx1"/>
                  </w14:solidFill>
                </w14:textFill>
              </w:rPr>
              <w:t xml:space="preserve">；描述较为简单或者响应有明显缺漏或不满足的得 </w:t>
            </w:r>
            <w:r>
              <w:rPr>
                <w:rFonts w:hint="eastAsia" w:ascii="宋体" w:hAnsi="宋体" w:cs="宋体"/>
                <w:color w:val="000000" w:themeColor="text1"/>
                <w:szCs w:val="21"/>
                <w:lang w:val="en-US" w:eastAsia="zh-CN"/>
                <w14:textFill>
                  <w14:solidFill>
                    <w14:schemeClr w14:val="tx1"/>
                  </w14:solidFill>
                </w14:textFill>
              </w:rPr>
              <w:t>0.1</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1.9</w:t>
            </w:r>
            <w:r>
              <w:rPr>
                <w:rFonts w:hint="eastAsia" w:ascii="宋体" w:hAnsi="宋体" w:cs="宋体"/>
                <w:color w:val="000000" w:themeColor="text1"/>
                <w:szCs w:val="21"/>
                <w14:textFill>
                  <w14:solidFill>
                    <w14:schemeClr w14:val="tx1"/>
                  </w14:solidFill>
                </w14:textFill>
              </w:rPr>
              <w:t>分；</w:t>
            </w:r>
          </w:p>
          <w:p w14:paraId="2FFB3D94">
            <w:pPr>
              <w:pStyle w:val="161"/>
              <w:pageBreakBefore w:val="0"/>
              <w:widowControl/>
              <w:kinsoku/>
              <w:wordWrap/>
              <w:overflowPunct/>
              <w:topLinePunct w:val="0"/>
              <w:autoSpaceDE/>
              <w:autoSpaceDN/>
              <w:bidi w:val="0"/>
              <w:adjustRightInd/>
              <w:snapToGrid w:val="0"/>
              <w:spacing w:line="380" w:lineRule="atLeast"/>
              <w:ind w:firstLine="0" w:firstLineChars="0"/>
              <w:jc w:val="left"/>
              <w:textAlignment w:val="auto"/>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注：以0.1分为计分单位，未提供不得分。</w:t>
            </w:r>
          </w:p>
        </w:tc>
      </w:tr>
      <w:tr w14:paraId="5E0A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9" w:type="dxa"/>
            <w:vMerge w:val="continue"/>
            <w:vAlign w:val="center"/>
          </w:tcPr>
          <w:p w14:paraId="6B8E6ECA">
            <w:pPr>
              <w:pStyle w:val="2"/>
              <w:ind w:firstLine="0"/>
              <w:jc w:val="center"/>
              <w:rPr>
                <w:color w:val="000000" w:themeColor="text1"/>
                <w14:textFill>
                  <w14:solidFill>
                    <w14:schemeClr w14:val="tx1"/>
                  </w14:solidFill>
                </w14:textFill>
              </w:rPr>
            </w:pPr>
          </w:p>
        </w:tc>
        <w:tc>
          <w:tcPr>
            <w:tcW w:w="1539" w:type="dxa"/>
            <w:vMerge w:val="continue"/>
            <w:vAlign w:val="center"/>
          </w:tcPr>
          <w:p w14:paraId="523D361D">
            <w:pPr>
              <w:pStyle w:val="2"/>
              <w:ind w:firstLine="0"/>
              <w:jc w:val="center"/>
              <w:rPr>
                <w:color w:val="000000" w:themeColor="text1"/>
                <w14:textFill>
                  <w14:solidFill>
                    <w14:schemeClr w14:val="tx1"/>
                  </w14:solidFill>
                </w14:textFill>
              </w:rPr>
            </w:pPr>
          </w:p>
        </w:tc>
        <w:tc>
          <w:tcPr>
            <w:tcW w:w="766" w:type="dxa"/>
            <w:tcBorders>
              <w:bottom w:val="single" w:color="auto" w:sz="4" w:space="0"/>
            </w:tcBorders>
            <w:vAlign w:val="center"/>
          </w:tcPr>
          <w:p w14:paraId="1151E4C2">
            <w:pPr>
              <w:pStyle w:val="2"/>
              <w:ind w:firstLine="0"/>
              <w:jc w:val="center"/>
              <w:rPr>
                <w:rFonts w:hint="default" w:eastAsia="宋体"/>
                <w:color w:val="000000" w:themeColor="text1"/>
                <w:highlight w:val="yellow"/>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p>
        </w:tc>
        <w:tc>
          <w:tcPr>
            <w:tcW w:w="7419" w:type="dxa"/>
            <w:tcBorders>
              <w:bottom w:val="single" w:color="auto" w:sz="4" w:space="0"/>
            </w:tcBorders>
            <w:vAlign w:val="center"/>
          </w:tcPr>
          <w:p w14:paraId="3CE5E68D">
            <w:pPr>
              <w:pStyle w:val="161"/>
              <w:pageBreakBefore w:val="0"/>
              <w:widowControl/>
              <w:numPr>
                <w:ilvl w:val="0"/>
                <w:numId w:val="0"/>
              </w:numPr>
              <w:kinsoku/>
              <w:wordWrap/>
              <w:overflowPunct/>
              <w:topLinePunct w:val="0"/>
              <w:autoSpaceDE/>
              <w:autoSpaceDN/>
              <w:bidi w:val="0"/>
              <w:adjustRightInd/>
              <w:snapToGrid w:val="0"/>
              <w:spacing w:line="380" w:lineRule="atLeast"/>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2、实施方案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分）</w:t>
            </w:r>
          </w:p>
          <w:p w14:paraId="63703B84">
            <w:pPr>
              <w:pStyle w:val="161"/>
              <w:pageBreakBefore w:val="0"/>
              <w:widowControl/>
              <w:kinsoku/>
              <w:wordWrap/>
              <w:overflowPunct/>
              <w:topLinePunct w:val="0"/>
              <w:autoSpaceDE/>
              <w:autoSpaceDN/>
              <w:bidi w:val="0"/>
              <w:adjustRightInd/>
              <w:snapToGrid w:val="0"/>
              <w:spacing w:line="380" w:lineRule="atLeast"/>
              <w:ind w:firstLine="0" w:firstLineChars="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根据投标人提供的项目实施方案，包括项目工期安排、项目进度和项目质量安全方面的保障措施、试运行计划等内容的可行性进行综合评分。</w:t>
            </w:r>
          </w:p>
          <w:p w14:paraId="37AF321F">
            <w:pPr>
              <w:pStyle w:val="161"/>
              <w:pageBreakBefore w:val="0"/>
              <w:widowControl/>
              <w:kinsoku/>
              <w:wordWrap/>
              <w:overflowPunct/>
              <w:topLinePunct w:val="0"/>
              <w:autoSpaceDE/>
              <w:autoSpaceDN/>
              <w:bidi w:val="0"/>
              <w:adjustRightInd/>
              <w:snapToGrid w:val="0"/>
              <w:spacing w:line="380" w:lineRule="atLeast"/>
              <w:ind w:firstLine="0" w:firstLineChars="0"/>
              <w:jc w:val="left"/>
              <w:textAlignment w:val="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方案完整、计划安排合理有序，有明确的响应机制和应急措施等内容的，得 </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 xml:space="preserve">分；方案基本完整，计划安排基本合理，响应机制和应急措施基本可行的，得  </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3.9</w:t>
            </w:r>
            <w:r>
              <w:rPr>
                <w:rFonts w:hint="eastAsia" w:ascii="宋体" w:hAnsi="宋体" w:cs="宋体"/>
                <w:color w:val="000000" w:themeColor="text1"/>
                <w:szCs w:val="21"/>
                <w14:textFill>
                  <w14:solidFill>
                    <w14:schemeClr w14:val="tx1"/>
                  </w14:solidFill>
                </w14:textFill>
              </w:rPr>
              <w:t xml:space="preserve">分；方案不完整，计划安排和响应机制、应急措施可行性较差的，得 </w:t>
            </w:r>
            <w:r>
              <w:rPr>
                <w:rFonts w:hint="eastAsia" w:ascii="宋体" w:hAnsi="宋体" w:cs="宋体"/>
                <w:color w:val="000000" w:themeColor="text1"/>
                <w:szCs w:val="21"/>
                <w:lang w:val="en-US" w:eastAsia="zh-CN"/>
                <w14:textFill>
                  <w14:solidFill>
                    <w14:schemeClr w14:val="tx1"/>
                  </w14:solidFill>
                </w14:textFill>
              </w:rPr>
              <w:t>0.1</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1.9</w:t>
            </w:r>
            <w:r>
              <w:rPr>
                <w:rFonts w:hint="eastAsia" w:ascii="宋体" w:hAnsi="宋体" w:cs="宋体"/>
                <w:color w:val="000000" w:themeColor="text1"/>
                <w:szCs w:val="21"/>
                <w14:textFill>
                  <w14:solidFill>
                    <w14:schemeClr w14:val="tx1"/>
                  </w14:solidFill>
                </w14:textFill>
              </w:rPr>
              <w:t>分</w:t>
            </w:r>
            <w:r>
              <w:rPr>
                <w:rFonts w:hint="eastAsia" w:ascii="宋体" w:hAnsi="宋体" w:cs="宋体"/>
                <w:color w:val="000000" w:themeColor="text1"/>
                <w:szCs w:val="21"/>
                <w:lang w:eastAsia="zh-CN"/>
                <w14:textFill>
                  <w14:solidFill>
                    <w14:schemeClr w14:val="tx1"/>
                  </w14:solidFill>
                </w14:textFill>
              </w:rPr>
              <w:t>。</w:t>
            </w:r>
          </w:p>
          <w:p w14:paraId="1BB005E6">
            <w:pPr>
              <w:pStyle w:val="161"/>
              <w:pageBreakBefore w:val="0"/>
              <w:widowControl/>
              <w:kinsoku/>
              <w:wordWrap/>
              <w:overflowPunct/>
              <w:topLinePunct w:val="0"/>
              <w:autoSpaceDE/>
              <w:autoSpaceDN/>
              <w:bidi w:val="0"/>
              <w:adjustRightInd/>
              <w:snapToGrid w:val="0"/>
              <w:spacing w:line="380" w:lineRule="atLeast"/>
              <w:ind w:firstLine="0" w:firstLineChars="0"/>
              <w:jc w:val="left"/>
              <w:textAlignment w:val="auto"/>
              <w:rPr>
                <w:rFonts w:ascii="宋体" w:hAnsi="宋体" w:eastAsia="宋体"/>
                <w:bCs/>
                <w:color w:val="000000" w:themeColor="text1"/>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注：以0.1分为计分单位，未提供不得分。</w:t>
            </w:r>
          </w:p>
        </w:tc>
      </w:tr>
      <w:tr w14:paraId="64C7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9" w:type="dxa"/>
            <w:vMerge w:val="continue"/>
            <w:vAlign w:val="center"/>
          </w:tcPr>
          <w:p w14:paraId="55A1601B">
            <w:pPr>
              <w:pStyle w:val="2"/>
              <w:ind w:firstLine="0"/>
              <w:jc w:val="center"/>
              <w:rPr>
                <w:color w:val="000000" w:themeColor="text1"/>
                <w14:textFill>
                  <w14:solidFill>
                    <w14:schemeClr w14:val="tx1"/>
                  </w14:solidFill>
                </w14:textFill>
              </w:rPr>
            </w:pPr>
          </w:p>
        </w:tc>
        <w:tc>
          <w:tcPr>
            <w:tcW w:w="1539" w:type="dxa"/>
            <w:vMerge w:val="continue"/>
            <w:vAlign w:val="center"/>
          </w:tcPr>
          <w:p w14:paraId="2AF0CD97">
            <w:pPr>
              <w:pStyle w:val="2"/>
              <w:ind w:firstLine="0"/>
              <w:jc w:val="center"/>
              <w:rPr>
                <w:color w:val="000000" w:themeColor="text1"/>
                <w14:textFill>
                  <w14:solidFill>
                    <w14:schemeClr w14:val="tx1"/>
                  </w14:solidFill>
                </w14:textFill>
              </w:rPr>
            </w:pPr>
          </w:p>
        </w:tc>
        <w:tc>
          <w:tcPr>
            <w:tcW w:w="766" w:type="dxa"/>
            <w:tcBorders>
              <w:bottom w:val="single" w:color="auto" w:sz="4" w:space="0"/>
            </w:tcBorders>
            <w:vAlign w:val="center"/>
          </w:tcPr>
          <w:p w14:paraId="730BF544">
            <w:pPr>
              <w:pStyle w:val="2"/>
              <w:ind w:firstLine="0"/>
              <w:jc w:val="center"/>
              <w:rPr>
                <w:rFonts w:hint="default" w:eastAsia="宋体"/>
                <w:color w:val="000000" w:themeColor="text1"/>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w:t>
            </w:r>
          </w:p>
        </w:tc>
        <w:tc>
          <w:tcPr>
            <w:tcW w:w="7419" w:type="dxa"/>
            <w:tcBorders>
              <w:bottom w:val="single" w:color="auto" w:sz="4" w:space="0"/>
            </w:tcBorders>
            <w:vAlign w:val="center"/>
          </w:tcPr>
          <w:p w14:paraId="1DBBC711">
            <w:pPr>
              <w:pStyle w:val="161"/>
              <w:pageBreakBefore w:val="0"/>
              <w:widowControl/>
              <w:numPr>
                <w:ilvl w:val="0"/>
                <w:numId w:val="5"/>
              </w:numPr>
              <w:kinsoku/>
              <w:wordWrap/>
              <w:overflowPunct/>
              <w:topLinePunct w:val="0"/>
              <w:autoSpaceDE/>
              <w:autoSpaceDN/>
              <w:bidi w:val="0"/>
              <w:adjustRightInd/>
              <w:snapToGrid w:val="0"/>
              <w:spacing w:line="380" w:lineRule="atLeast"/>
              <w:ind w:firstLine="0" w:firstLineChars="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智慧管理平台设计</w:t>
            </w:r>
            <w:r>
              <w:rPr>
                <w:rFonts w:hint="eastAsia" w:ascii="宋体" w:hAnsi="宋体" w:cs="宋体"/>
                <w:color w:val="000000" w:themeColor="text1"/>
                <w:szCs w:val="21"/>
                <w14:textFill>
                  <w14:solidFill>
                    <w14:schemeClr w14:val="tx1"/>
                  </w14:solidFill>
                </w14:textFill>
              </w:rPr>
              <w:t>方案</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20分）</w:t>
            </w:r>
          </w:p>
          <w:p w14:paraId="469CDBA8">
            <w:pPr>
              <w:pStyle w:val="161"/>
              <w:pageBreakBefore w:val="0"/>
              <w:widowControl/>
              <w:numPr>
                <w:ilvl w:val="0"/>
                <w:numId w:val="0"/>
              </w:numPr>
              <w:kinsoku/>
              <w:wordWrap/>
              <w:overflowPunct/>
              <w:topLinePunct w:val="0"/>
              <w:autoSpaceDE/>
              <w:autoSpaceDN/>
              <w:bidi w:val="0"/>
              <w:adjustRightInd/>
              <w:snapToGrid w:val="0"/>
              <w:spacing w:line="380" w:lineRule="atLeast"/>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根据项目</w:t>
            </w:r>
            <w:r>
              <w:rPr>
                <w:rFonts w:hint="eastAsia" w:ascii="宋体" w:hAnsi="宋体" w:cs="宋体"/>
                <w:color w:val="000000" w:themeColor="text1"/>
                <w:szCs w:val="21"/>
                <w:lang w:val="en-US" w:eastAsia="zh-CN"/>
                <w14:textFill>
                  <w14:solidFill>
                    <w14:schemeClr w14:val="tx1"/>
                  </w14:solidFill>
                </w14:textFill>
              </w:rPr>
              <w:t>需求提供的设计</w:t>
            </w:r>
            <w:r>
              <w:rPr>
                <w:rFonts w:hint="eastAsia" w:ascii="宋体" w:hAnsi="宋体" w:cs="宋体"/>
                <w:color w:val="000000" w:themeColor="text1"/>
                <w:szCs w:val="21"/>
                <w14:textFill>
                  <w14:solidFill>
                    <w14:schemeClr w14:val="tx1"/>
                  </w14:solidFill>
                </w14:textFill>
              </w:rPr>
              <w:t>方案</w:t>
            </w:r>
            <w:r>
              <w:rPr>
                <w:rFonts w:hint="eastAsia" w:ascii="宋体" w:hAnsi="宋体" w:cs="宋体"/>
                <w:color w:val="000000" w:themeColor="text1"/>
                <w:szCs w:val="21"/>
                <w:lang w:val="en-US" w:eastAsia="zh-CN"/>
                <w14:textFill>
                  <w14:solidFill>
                    <w14:schemeClr w14:val="tx1"/>
                  </w14:solidFill>
                </w14:textFill>
              </w:rPr>
              <w:t>中</w:t>
            </w:r>
            <w:bookmarkStart w:id="463" w:name="_GoBack"/>
            <w:bookmarkEnd w:id="463"/>
            <w:r>
              <w:rPr>
                <w:rFonts w:hint="eastAsia" w:ascii="宋体" w:hAnsi="宋体" w:cs="宋体"/>
                <w:color w:val="000000" w:themeColor="text1"/>
                <w:szCs w:val="21"/>
                <w:lang w:val="en-US" w:eastAsia="zh-CN"/>
                <w14:textFill>
                  <w14:solidFill>
                    <w14:schemeClr w14:val="tx1"/>
                  </w14:solidFill>
                </w14:textFill>
              </w:rPr>
              <w:t>涉及的</w:t>
            </w:r>
            <w:r>
              <w:rPr>
                <w:rFonts w:hint="eastAsia" w:ascii="宋体" w:hAnsi="宋体" w:cs="Times New Roman"/>
                <w:b w:val="0"/>
                <w:bCs w:val="0"/>
                <w:color w:val="000000" w:themeColor="text1"/>
                <w:kern w:val="2"/>
                <w:sz w:val="21"/>
                <w:szCs w:val="21"/>
                <w:lang w:val="en-US" w:eastAsia="zh-CN" w:bidi="ar-SA"/>
                <w14:textFill>
                  <w14:solidFill>
                    <w14:schemeClr w14:val="tx1"/>
                  </w14:solidFill>
                </w14:textFill>
              </w:rPr>
              <w:t>系统类</w:t>
            </w:r>
            <w:r>
              <w:rPr>
                <w:rFonts w:hint="eastAsia" w:ascii="宋体" w:hAnsi="宋体" w:cs="宋体"/>
                <w:color w:val="000000" w:themeColor="text1"/>
                <w:szCs w:val="21"/>
                <w:lang w:val="en-US" w:eastAsia="zh-CN"/>
                <w14:textFill>
                  <w14:solidFill>
                    <w14:schemeClr w14:val="tx1"/>
                  </w14:solidFill>
                </w14:textFill>
              </w:rPr>
              <w:t>可操作性</w:t>
            </w: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、数据</w:t>
            </w:r>
            <w:r>
              <w:rPr>
                <w:rFonts w:hint="eastAsia" w:ascii="宋体" w:hAnsi="宋体" w:cs="Times New Roman"/>
                <w:b w:val="0"/>
                <w:bCs w:val="0"/>
                <w:color w:val="000000" w:themeColor="text1"/>
                <w:kern w:val="2"/>
                <w:sz w:val="21"/>
                <w:szCs w:val="21"/>
                <w:lang w:val="en-US" w:eastAsia="zh-CN" w:bidi="ar-SA"/>
                <w14:textFill>
                  <w14:solidFill>
                    <w14:schemeClr w14:val="tx1"/>
                  </w14:solidFill>
                </w14:textFill>
              </w:rPr>
              <w:t>对接能力的</w:t>
            </w:r>
            <w:r>
              <w:rPr>
                <w:rFonts w:hint="eastAsia" w:ascii="宋体" w:hAnsi="宋体" w:cs="宋体"/>
                <w:color w:val="000000" w:themeColor="text1"/>
                <w:szCs w:val="21"/>
                <w14:textFill>
                  <w14:solidFill>
                    <w14:schemeClr w14:val="tx1"/>
                  </w14:solidFill>
                </w14:textFill>
              </w:rPr>
              <w:t>针对性、全面性进行综合评分。</w:t>
            </w:r>
          </w:p>
          <w:p w14:paraId="5BDDDA66">
            <w:pPr>
              <w:pStyle w:val="161"/>
              <w:pageBreakBefore w:val="0"/>
              <w:widowControl/>
              <w:kinsoku/>
              <w:wordWrap/>
              <w:overflowPunct/>
              <w:topLinePunct w:val="0"/>
              <w:autoSpaceDE/>
              <w:autoSpaceDN/>
              <w:bidi w:val="0"/>
              <w:adjustRightInd/>
              <w:snapToGrid w:val="0"/>
              <w:spacing w:line="380" w:lineRule="atLeast"/>
              <w:ind w:firstLine="0" w:firstLineChars="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设计</w:t>
            </w:r>
            <w:r>
              <w:rPr>
                <w:rFonts w:hint="eastAsia" w:ascii="宋体" w:hAnsi="宋体" w:cs="宋体"/>
                <w:color w:val="000000" w:themeColor="text1"/>
                <w:szCs w:val="21"/>
                <w14:textFill>
                  <w14:solidFill>
                    <w14:schemeClr w14:val="tx1"/>
                  </w14:solidFill>
                </w14:textFill>
              </w:rPr>
              <w:t>方案</w:t>
            </w:r>
            <w:r>
              <w:rPr>
                <w:rFonts w:hint="eastAsia" w:ascii="宋体" w:hAnsi="宋体" w:cs="宋体"/>
                <w:color w:val="000000" w:themeColor="text1"/>
                <w:szCs w:val="21"/>
                <w:lang w:val="en-US" w:eastAsia="zh-CN"/>
                <w14:textFill>
                  <w14:solidFill>
                    <w14:schemeClr w14:val="tx1"/>
                  </w14:solidFill>
                </w14:textFill>
              </w:rPr>
              <w:t>案例可视化</w:t>
            </w:r>
            <w:r>
              <w:rPr>
                <w:rFonts w:hint="eastAsia" w:ascii="宋体" w:hAnsi="宋体" w:cs="宋体"/>
                <w:color w:val="000000" w:themeColor="text1"/>
                <w:szCs w:val="21"/>
                <w14:textFill>
                  <w14:solidFill>
                    <w14:schemeClr w14:val="tx1"/>
                  </w14:solidFill>
                </w14:textFill>
              </w:rPr>
              <w:t>，可操作性高，</w:t>
            </w:r>
            <w:r>
              <w:rPr>
                <w:rFonts w:hint="eastAsia" w:ascii="宋体" w:hAnsi="宋体" w:cs="宋体"/>
                <w:color w:val="000000" w:themeColor="text1"/>
                <w:szCs w:val="21"/>
                <w:lang w:val="en-US" w:eastAsia="zh-CN"/>
                <w14:textFill>
                  <w14:solidFill>
                    <w14:schemeClr w14:val="tx1"/>
                  </w14:solidFill>
                </w14:textFill>
              </w:rPr>
              <w:t>针对性强，</w:t>
            </w:r>
            <w:r>
              <w:rPr>
                <w:rFonts w:hint="eastAsia" w:ascii="宋体" w:hAnsi="宋体" w:cs="宋体"/>
                <w:color w:val="000000" w:themeColor="text1"/>
                <w:szCs w:val="21"/>
                <w14:textFill>
                  <w14:solidFill>
                    <w14:schemeClr w14:val="tx1"/>
                  </w14:solidFill>
                </w14:textFill>
              </w:rPr>
              <w:t>提供</w:t>
            </w:r>
            <w:r>
              <w:rPr>
                <w:rFonts w:hint="eastAsia" w:ascii="宋体" w:hAnsi="宋体" w:cs="宋体"/>
                <w:color w:val="000000" w:themeColor="text1"/>
                <w:szCs w:val="21"/>
                <w:lang w:val="en-US" w:eastAsia="zh-CN"/>
                <w14:textFill>
                  <w14:solidFill>
                    <w14:schemeClr w14:val="tx1"/>
                  </w14:solidFill>
                </w14:textFill>
              </w:rPr>
              <w:t>全面的</w:t>
            </w:r>
            <w:r>
              <w:rPr>
                <w:rFonts w:hint="eastAsia" w:ascii="宋体" w:hAnsi="宋体" w:cs="宋体"/>
                <w:color w:val="000000" w:themeColor="text1"/>
                <w:szCs w:val="21"/>
                <w14:textFill>
                  <w14:solidFill>
                    <w14:schemeClr w14:val="tx1"/>
                  </w14:solidFill>
                </w14:textFill>
              </w:rPr>
              <w:t>功能</w:t>
            </w:r>
            <w:r>
              <w:rPr>
                <w:rFonts w:hint="eastAsia" w:ascii="宋体" w:hAnsi="宋体" w:cs="宋体"/>
                <w:color w:val="000000" w:themeColor="text1"/>
                <w:szCs w:val="21"/>
                <w:lang w:val="en-US" w:eastAsia="zh-CN"/>
                <w14:textFill>
                  <w14:solidFill>
                    <w14:schemeClr w14:val="tx1"/>
                  </w14:solidFill>
                </w14:textFill>
              </w:rPr>
              <w:t>模块</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分；功能设计方案</w:t>
            </w:r>
            <w:r>
              <w:rPr>
                <w:rFonts w:hint="eastAsia" w:ascii="宋体" w:hAnsi="宋体" w:cs="宋体"/>
                <w:color w:val="000000" w:themeColor="text1"/>
                <w:szCs w:val="21"/>
                <w:lang w:val="en-US" w:eastAsia="zh-CN"/>
                <w14:textFill>
                  <w14:solidFill>
                    <w14:schemeClr w14:val="tx1"/>
                  </w14:solidFill>
                </w14:textFill>
              </w:rPr>
              <w:t>不全面</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可视化能力欠缺，模块不全面</w:t>
            </w:r>
            <w:r>
              <w:rPr>
                <w:rFonts w:hint="eastAsia" w:ascii="宋体" w:hAnsi="宋体" w:cs="宋体"/>
                <w:color w:val="000000" w:themeColor="text1"/>
                <w:szCs w:val="21"/>
                <w14:textFill>
                  <w14:solidFill>
                    <w14:schemeClr w14:val="tx1"/>
                  </w14:solidFill>
                </w14:textFill>
              </w:rPr>
              <w:t xml:space="preserve">得 </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14</w:t>
            </w:r>
            <w:r>
              <w:rPr>
                <w:rFonts w:hint="eastAsia" w:ascii="宋体" w:hAnsi="宋体" w:cs="宋体"/>
                <w:color w:val="000000" w:themeColor="text1"/>
                <w:szCs w:val="21"/>
                <w14:textFill>
                  <w14:solidFill>
                    <w14:schemeClr w14:val="tx1"/>
                  </w14:solidFill>
                </w14:textFill>
              </w:rPr>
              <w:t>分；方案较为简单笼统或存在缺陷的得</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分。</w:t>
            </w:r>
          </w:p>
          <w:p w14:paraId="3AE2182E">
            <w:pPr>
              <w:pStyle w:val="161"/>
              <w:pageBreakBefore w:val="0"/>
              <w:widowControl/>
              <w:kinsoku/>
              <w:wordWrap/>
              <w:overflowPunct/>
              <w:topLinePunct w:val="0"/>
              <w:autoSpaceDE/>
              <w:autoSpaceDN/>
              <w:bidi w:val="0"/>
              <w:adjustRightInd/>
              <w:snapToGrid w:val="0"/>
              <w:spacing w:line="380" w:lineRule="atLeast"/>
              <w:ind w:firstLine="0" w:firstLineChars="0"/>
              <w:jc w:val="left"/>
              <w:textAlignment w:val="auto"/>
              <w:rPr>
                <w:rFonts w:ascii="宋体" w:hAnsi="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注：以0.1分为计分单位，未提供不得分。</w:t>
            </w:r>
          </w:p>
        </w:tc>
      </w:tr>
      <w:tr w14:paraId="53DA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579" w:type="dxa"/>
            <w:tcBorders>
              <w:top w:val="single" w:color="auto" w:sz="4" w:space="0"/>
              <w:bottom w:val="single" w:color="auto" w:sz="4" w:space="0"/>
            </w:tcBorders>
            <w:vAlign w:val="center"/>
          </w:tcPr>
          <w:p w14:paraId="2DE74800">
            <w:pPr>
              <w:spacing w:line="48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w:t>
            </w:r>
          </w:p>
        </w:tc>
        <w:tc>
          <w:tcPr>
            <w:tcW w:w="1539" w:type="dxa"/>
            <w:tcBorders>
              <w:top w:val="single" w:color="auto" w:sz="4" w:space="0"/>
              <w:bottom w:val="single" w:color="auto" w:sz="4" w:space="0"/>
            </w:tcBorders>
            <w:vAlign w:val="center"/>
          </w:tcPr>
          <w:p w14:paraId="0C542FEA">
            <w:pPr>
              <w:spacing w:line="480" w:lineRule="exact"/>
              <w:jc w:val="center"/>
              <w:rPr>
                <w:rFonts w:hint="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售后服务</w:t>
            </w:r>
          </w:p>
        </w:tc>
        <w:tc>
          <w:tcPr>
            <w:tcW w:w="766" w:type="dxa"/>
            <w:tcBorders>
              <w:top w:val="single" w:color="auto" w:sz="4" w:space="0"/>
              <w:bottom w:val="single" w:color="auto" w:sz="4" w:space="0"/>
            </w:tcBorders>
            <w:vAlign w:val="center"/>
          </w:tcPr>
          <w:p w14:paraId="2AD66B38">
            <w:pPr>
              <w:spacing w:line="48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w:t>
            </w:r>
          </w:p>
        </w:tc>
        <w:tc>
          <w:tcPr>
            <w:tcW w:w="7419" w:type="dxa"/>
            <w:tcBorders>
              <w:top w:val="single" w:color="auto" w:sz="4" w:space="0"/>
              <w:bottom w:val="single" w:color="auto" w:sz="4" w:space="0"/>
            </w:tcBorders>
            <w:vAlign w:val="center"/>
          </w:tcPr>
          <w:p w14:paraId="447D61C7">
            <w:pPr>
              <w:pStyle w:val="193"/>
              <w:keepNext w:val="0"/>
              <w:keepLines w:val="0"/>
              <w:pageBreakBefore w:val="0"/>
              <w:widowControl w:val="0"/>
              <w:numPr>
                <w:ilvl w:val="0"/>
                <w:numId w:val="0"/>
              </w:numPr>
              <w:kinsoku/>
              <w:wordWrap/>
              <w:overflowPunct/>
              <w:topLinePunct w:val="0"/>
              <w:autoSpaceDE w:val="0"/>
              <w:autoSpaceDN w:val="0"/>
              <w:bidi w:val="0"/>
              <w:adjustRightInd/>
              <w:snapToGrid/>
              <w:spacing w:line="380" w:lineRule="atLeast"/>
              <w:ind w:right="57" w:rightChars="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w:t>
            </w:r>
            <w:r>
              <w:rPr>
                <w:rFonts w:hint="eastAsia" w:cs="宋体"/>
                <w:color w:val="000000" w:themeColor="text1"/>
                <w:kern w:val="2"/>
                <w:sz w:val="21"/>
                <w:szCs w:val="21"/>
                <w:lang w:val="en-US" w:eastAsia="zh-CN" w:bidi="ar-SA"/>
                <w14:textFill>
                  <w14:solidFill>
                    <w14:schemeClr w14:val="tx1"/>
                  </w14:solidFill>
                </w14:textFill>
              </w:rPr>
              <w:t>故障</w:t>
            </w:r>
            <w:r>
              <w:rPr>
                <w:rFonts w:hint="eastAsia" w:ascii="宋体" w:hAnsi="宋体" w:eastAsia="宋体" w:cs="宋体"/>
                <w:color w:val="000000" w:themeColor="text1"/>
                <w:kern w:val="2"/>
                <w:sz w:val="21"/>
                <w:szCs w:val="21"/>
                <w:lang w:val="en-US" w:eastAsia="zh-CN" w:bidi="ar-SA"/>
                <w14:textFill>
                  <w14:solidFill>
                    <w14:schemeClr w14:val="tx1"/>
                  </w14:solidFill>
                </w14:textFill>
              </w:rPr>
              <w:t>响应时间（</w:t>
            </w:r>
            <w:r>
              <w:rPr>
                <w:rFonts w:hint="eastAsia" w:cs="宋体"/>
                <w:color w:val="000000" w:themeColor="text1"/>
                <w:kern w:val="2"/>
                <w:sz w:val="21"/>
                <w:szCs w:val="21"/>
                <w:lang w:val="en-US" w:eastAsia="zh-CN" w:bidi="ar-SA"/>
                <w14:textFill>
                  <w14:solidFill>
                    <w14:schemeClr w14:val="tx1"/>
                  </w14:solidFill>
                </w14:textFill>
              </w:rPr>
              <w:t>3</w:t>
            </w:r>
            <w:r>
              <w:rPr>
                <w:rFonts w:hint="eastAsia" w:ascii="宋体" w:hAnsi="宋体" w:eastAsia="宋体" w:cs="宋体"/>
                <w:color w:val="000000" w:themeColor="text1"/>
                <w:kern w:val="2"/>
                <w:sz w:val="21"/>
                <w:szCs w:val="21"/>
                <w:lang w:val="en-US" w:eastAsia="zh-CN" w:bidi="ar-SA"/>
                <w14:textFill>
                  <w14:solidFill>
                    <w14:schemeClr w14:val="tx1"/>
                  </w14:solidFill>
                </w14:textFill>
              </w:rPr>
              <w:t>分）</w:t>
            </w:r>
          </w:p>
          <w:p w14:paraId="38098274">
            <w:pPr>
              <w:pStyle w:val="193"/>
              <w:keepNext w:val="0"/>
              <w:keepLines w:val="0"/>
              <w:pageBreakBefore w:val="0"/>
              <w:widowControl w:val="0"/>
              <w:kinsoku/>
              <w:wordWrap/>
              <w:overflowPunct/>
              <w:topLinePunct w:val="0"/>
              <w:autoSpaceDE w:val="0"/>
              <w:autoSpaceDN w:val="0"/>
              <w:bidi w:val="0"/>
              <w:adjustRightInd/>
              <w:snapToGrid/>
              <w:spacing w:line="380" w:lineRule="atLeast"/>
              <w:ind w:right="57"/>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cs="宋体"/>
                <w:color w:val="000000" w:themeColor="text1"/>
                <w:kern w:val="2"/>
                <w:sz w:val="21"/>
                <w:szCs w:val="21"/>
                <w:lang w:val="en-US" w:eastAsia="zh-CN" w:bidi="ar-SA"/>
                <w14:textFill>
                  <w14:solidFill>
                    <w14:schemeClr w14:val="tx1"/>
                  </w14:solidFill>
                </w14:textFill>
              </w:rPr>
              <w:t>结合采购需求</w:t>
            </w:r>
            <w:r>
              <w:rPr>
                <w:rFonts w:hint="eastAsia" w:ascii="宋体" w:hAnsi="宋体" w:eastAsia="宋体" w:cs="宋体"/>
                <w:color w:val="000000" w:themeColor="text1"/>
                <w:kern w:val="2"/>
                <w:sz w:val="21"/>
                <w:szCs w:val="21"/>
                <w:lang w:val="en-US" w:eastAsia="zh-CN" w:bidi="ar-SA"/>
                <w14:textFill>
                  <w14:solidFill>
                    <w14:schemeClr w14:val="tx1"/>
                  </w14:solidFill>
                </w14:textFill>
              </w:rPr>
              <w:t>，</w:t>
            </w:r>
            <w:r>
              <w:rPr>
                <w:rFonts w:hint="eastAsia" w:cs="宋体"/>
                <w:color w:val="000000" w:themeColor="text1"/>
                <w:kern w:val="2"/>
                <w:sz w:val="21"/>
                <w:szCs w:val="21"/>
                <w:lang w:val="en-US" w:eastAsia="zh-CN" w:bidi="ar-SA"/>
                <w14:textFill>
                  <w14:solidFill>
                    <w14:schemeClr w14:val="tx1"/>
                  </w14:solidFill>
                </w14:textFill>
              </w:rPr>
              <w:t>根据投标人响应程度，6小时内（不含6小时）恢复系统正常运行得3分，6-12小时内（不含12小时）恢复系统正常运行得2分，12-24小时内（不含24小时）恢复系统正常运行得1分</w:t>
            </w:r>
            <w:r>
              <w:rPr>
                <w:rFonts w:hint="eastAsia" w:ascii="宋体" w:hAnsi="宋体" w:eastAsia="宋体" w:cs="宋体"/>
                <w:color w:val="000000" w:themeColor="text1"/>
                <w:kern w:val="2"/>
                <w:sz w:val="21"/>
                <w:szCs w:val="21"/>
                <w:lang w:val="en-US" w:eastAsia="zh-CN" w:bidi="ar-SA"/>
                <w14:textFill>
                  <w14:solidFill>
                    <w14:schemeClr w14:val="tx1"/>
                  </w14:solidFill>
                </w14:textFill>
              </w:rPr>
              <w:t>；响应时间超过24小时服务的，本项不得分。</w:t>
            </w:r>
          </w:p>
          <w:p w14:paraId="0267E08C">
            <w:pPr>
              <w:pStyle w:val="193"/>
              <w:keepNext w:val="0"/>
              <w:keepLines w:val="0"/>
              <w:pageBreakBefore w:val="0"/>
              <w:widowControl w:val="0"/>
              <w:numPr>
                <w:ilvl w:val="0"/>
                <w:numId w:val="0"/>
              </w:numPr>
              <w:kinsoku/>
              <w:wordWrap/>
              <w:overflowPunct/>
              <w:topLinePunct w:val="0"/>
              <w:autoSpaceDE w:val="0"/>
              <w:autoSpaceDN w:val="0"/>
              <w:bidi w:val="0"/>
              <w:adjustRightInd/>
              <w:snapToGrid/>
              <w:spacing w:line="380" w:lineRule="atLeast"/>
              <w:ind w:right="57" w:rightChars="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2、服务内容（</w:t>
            </w:r>
            <w:r>
              <w:rPr>
                <w:rFonts w:hint="eastAsia" w:cs="宋体"/>
                <w:color w:val="000000" w:themeColor="text1"/>
                <w:kern w:val="2"/>
                <w:sz w:val="21"/>
                <w:szCs w:val="21"/>
                <w:lang w:val="en-US" w:eastAsia="zh-CN" w:bidi="ar-SA"/>
                <w14:textFill>
                  <w14:solidFill>
                    <w14:schemeClr w14:val="tx1"/>
                  </w14:solidFill>
                </w14:textFill>
              </w:rPr>
              <w:t>1</w:t>
            </w:r>
            <w:r>
              <w:rPr>
                <w:rFonts w:hint="eastAsia" w:ascii="宋体" w:hAnsi="宋体" w:eastAsia="宋体" w:cs="宋体"/>
                <w:color w:val="000000" w:themeColor="text1"/>
                <w:kern w:val="2"/>
                <w:sz w:val="21"/>
                <w:szCs w:val="21"/>
                <w:lang w:val="en-US" w:eastAsia="zh-CN" w:bidi="ar-SA"/>
                <w14:textFill>
                  <w14:solidFill>
                    <w14:schemeClr w14:val="tx1"/>
                  </w14:solidFill>
                </w14:textFill>
              </w:rPr>
              <w:t>分）</w:t>
            </w:r>
          </w:p>
          <w:p w14:paraId="0CFC2F27">
            <w:pPr>
              <w:pStyle w:val="193"/>
              <w:keepNext w:val="0"/>
              <w:keepLines w:val="0"/>
              <w:pageBreakBefore w:val="0"/>
              <w:widowControl w:val="0"/>
              <w:kinsoku/>
              <w:wordWrap/>
              <w:overflowPunct/>
              <w:topLinePunct w:val="0"/>
              <w:autoSpaceDE w:val="0"/>
              <w:autoSpaceDN w:val="0"/>
              <w:bidi w:val="0"/>
              <w:adjustRightInd/>
              <w:snapToGrid/>
              <w:spacing w:line="380" w:lineRule="atLeast"/>
              <w:ind w:left="6" w:right="57"/>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提供全面、系统的软件使用培训直至用户熟练应用，</w:t>
            </w:r>
            <w:r>
              <w:rPr>
                <w:rFonts w:hint="eastAsia" w:cs="宋体"/>
                <w:color w:val="000000" w:themeColor="text1"/>
                <w:kern w:val="2"/>
                <w:sz w:val="21"/>
                <w:szCs w:val="21"/>
                <w:lang w:val="en-US" w:eastAsia="zh-CN" w:bidi="ar-SA"/>
                <w14:textFill>
                  <w14:solidFill>
                    <w14:schemeClr w14:val="tx1"/>
                  </w14:solidFill>
                </w14:textFill>
              </w:rPr>
              <w:t>承诺</w:t>
            </w:r>
            <w:r>
              <w:rPr>
                <w:rFonts w:hint="eastAsia" w:ascii="宋体" w:hAnsi="宋体" w:eastAsia="宋体" w:cs="宋体"/>
                <w:color w:val="000000" w:themeColor="text1"/>
                <w:kern w:val="2"/>
                <w:sz w:val="21"/>
                <w:szCs w:val="21"/>
                <w:lang w:val="en-US" w:eastAsia="zh-CN" w:bidi="ar-SA"/>
                <w14:textFill>
                  <w14:solidFill>
                    <w14:schemeClr w14:val="tx1"/>
                  </w14:solidFill>
                </w14:textFill>
              </w:rPr>
              <w:t>提供</w:t>
            </w:r>
            <w:r>
              <w:rPr>
                <w:rFonts w:hint="eastAsia" w:cs="宋体"/>
                <w:color w:val="000000" w:themeColor="text1"/>
                <w:kern w:val="2"/>
                <w:sz w:val="21"/>
                <w:szCs w:val="21"/>
                <w:lang w:val="en-US" w:eastAsia="zh-CN" w:bidi="ar-SA"/>
                <w14:textFill>
                  <w14:solidFill>
                    <w14:schemeClr w14:val="tx1"/>
                  </w14:solidFill>
                </w14:textFill>
              </w:rPr>
              <w:t>2年</w:t>
            </w:r>
            <w:r>
              <w:rPr>
                <w:rFonts w:hint="eastAsia" w:ascii="宋体" w:hAnsi="宋体" w:eastAsia="宋体" w:cs="宋体"/>
                <w:color w:val="000000" w:themeColor="text1"/>
                <w:kern w:val="2"/>
                <w:sz w:val="21"/>
                <w:szCs w:val="21"/>
                <w:lang w:val="en-US" w:eastAsia="zh-CN" w:bidi="ar-SA"/>
                <w14:textFill>
                  <w14:solidFill>
                    <w14:schemeClr w14:val="tx1"/>
                  </w14:solidFill>
                </w14:textFill>
              </w:rPr>
              <w:t>免费</w:t>
            </w:r>
            <w:r>
              <w:rPr>
                <w:rFonts w:hint="eastAsia" w:cs="宋体"/>
                <w:color w:val="000000" w:themeColor="text1"/>
                <w:kern w:val="2"/>
                <w:sz w:val="21"/>
                <w:szCs w:val="21"/>
                <w:lang w:val="en-US" w:eastAsia="zh-CN" w:bidi="ar-SA"/>
                <w14:textFill>
                  <w14:solidFill>
                    <w14:schemeClr w14:val="tx1"/>
                  </w14:solidFill>
                </w14:textFill>
              </w:rPr>
              <w:t>运维</w:t>
            </w:r>
            <w:r>
              <w:rPr>
                <w:rFonts w:hint="eastAsia" w:ascii="宋体" w:hAnsi="宋体" w:eastAsia="宋体" w:cs="宋体"/>
                <w:color w:val="000000" w:themeColor="text1"/>
                <w:kern w:val="2"/>
                <w:sz w:val="21"/>
                <w:szCs w:val="21"/>
                <w:lang w:val="en-US" w:eastAsia="zh-CN" w:bidi="ar-SA"/>
                <w14:textFill>
                  <w14:solidFill>
                    <w14:schemeClr w14:val="tx1"/>
                  </w14:solidFill>
                </w14:textFill>
              </w:rPr>
              <w:t>服务的</w:t>
            </w:r>
            <w:r>
              <w:rPr>
                <w:rFonts w:hint="eastAsia" w:cs="宋体"/>
                <w:color w:val="000000" w:themeColor="text1"/>
                <w:kern w:val="2"/>
                <w:sz w:val="21"/>
                <w:szCs w:val="21"/>
                <w:lang w:val="en-US" w:eastAsia="zh-CN" w:bidi="ar-SA"/>
                <w14:textFill>
                  <w14:solidFill>
                    <w14:schemeClr w14:val="tx1"/>
                  </w14:solidFill>
                </w14:textFill>
              </w:rPr>
              <w:t>，每增加一年</w:t>
            </w:r>
            <w:r>
              <w:rPr>
                <w:rFonts w:hint="eastAsia" w:ascii="宋体" w:hAnsi="宋体" w:eastAsia="宋体" w:cs="宋体"/>
                <w:color w:val="000000" w:themeColor="text1"/>
                <w:kern w:val="2"/>
                <w:sz w:val="21"/>
                <w:szCs w:val="21"/>
                <w:lang w:val="en-US" w:eastAsia="zh-CN" w:bidi="ar-SA"/>
                <w14:textFill>
                  <w14:solidFill>
                    <w14:schemeClr w14:val="tx1"/>
                  </w14:solidFill>
                </w14:textFill>
              </w:rPr>
              <w:t>得</w:t>
            </w:r>
            <w:r>
              <w:rPr>
                <w:rFonts w:hint="eastAsia" w:cs="宋体"/>
                <w:color w:val="000000" w:themeColor="text1"/>
                <w:kern w:val="2"/>
                <w:sz w:val="21"/>
                <w:szCs w:val="21"/>
                <w:lang w:val="en-US" w:eastAsia="zh-CN" w:bidi="ar-SA"/>
                <w14:textFill>
                  <w14:solidFill>
                    <w14:schemeClr w14:val="tx1"/>
                  </w14:solidFill>
                </w14:textFill>
              </w:rPr>
              <w:t>1</w:t>
            </w:r>
            <w:r>
              <w:rPr>
                <w:rFonts w:hint="eastAsia" w:ascii="宋体" w:hAnsi="宋体" w:eastAsia="宋体" w:cs="宋体"/>
                <w:color w:val="000000" w:themeColor="text1"/>
                <w:kern w:val="2"/>
                <w:sz w:val="21"/>
                <w:szCs w:val="21"/>
                <w:lang w:val="en-US" w:eastAsia="zh-CN" w:bidi="ar-SA"/>
                <w14:textFill>
                  <w14:solidFill>
                    <w14:schemeClr w14:val="tx1"/>
                  </w14:solidFill>
                </w14:textFill>
              </w:rPr>
              <w:t>分</w:t>
            </w:r>
            <w:r>
              <w:rPr>
                <w:rFonts w:hint="eastAsia" w:cs="宋体"/>
                <w:color w:val="000000" w:themeColor="text1"/>
                <w:kern w:val="2"/>
                <w:sz w:val="21"/>
                <w:szCs w:val="21"/>
                <w:lang w:val="en-US" w:eastAsia="zh-CN" w:bidi="ar-SA"/>
                <w14:textFill>
                  <w14:solidFill>
                    <w14:schemeClr w14:val="tx1"/>
                  </w14:solidFill>
                </w14:textFill>
              </w:rPr>
              <w:t>，满分1分。</w:t>
            </w:r>
          </w:p>
          <w:p w14:paraId="6B447CDB">
            <w:pPr>
              <w:pStyle w:val="193"/>
              <w:keepNext w:val="0"/>
              <w:keepLines w:val="0"/>
              <w:pageBreakBefore w:val="0"/>
              <w:widowControl w:val="0"/>
              <w:kinsoku/>
              <w:wordWrap/>
              <w:overflowPunct/>
              <w:topLinePunct w:val="0"/>
              <w:autoSpaceDE w:val="0"/>
              <w:autoSpaceDN w:val="0"/>
              <w:bidi w:val="0"/>
              <w:adjustRightInd/>
              <w:snapToGrid/>
              <w:spacing w:line="380" w:lineRule="atLeast"/>
              <w:ind w:left="6" w:right="57"/>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无法满足服务内容要求的，及未提供承诺的，本项不得分。</w:t>
            </w:r>
          </w:p>
        </w:tc>
      </w:tr>
      <w:tr w14:paraId="1DC9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79" w:type="dxa"/>
            <w:tcBorders>
              <w:top w:val="single" w:color="auto" w:sz="4" w:space="0"/>
              <w:bottom w:val="single" w:color="auto" w:sz="4" w:space="0"/>
            </w:tcBorders>
            <w:vAlign w:val="center"/>
          </w:tcPr>
          <w:p w14:paraId="113EAAC6">
            <w:pPr>
              <w:spacing w:line="48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w:t>
            </w:r>
          </w:p>
        </w:tc>
        <w:tc>
          <w:tcPr>
            <w:tcW w:w="1539" w:type="dxa"/>
            <w:tcBorders>
              <w:top w:val="single" w:color="auto" w:sz="4" w:space="0"/>
              <w:bottom w:val="single" w:color="auto" w:sz="4" w:space="0"/>
            </w:tcBorders>
            <w:vAlign w:val="center"/>
          </w:tcPr>
          <w:p w14:paraId="059F70A0">
            <w:pPr>
              <w:spacing w:line="480" w:lineRule="exact"/>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业绩</w:t>
            </w:r>
          </w:p>
        </w:tc>
        <w:tc>
          <w:tcPr>
            <w:tcW w:w="766" w:type="dxa"/>
            <w:tcBorders>
              <w:top w:val="single" w:color="auto" w:sz="4" w:space="0"/>
              <w:bottom w:val="single" w:color="auto" w:sz="4" w:space="0"/>
            </w:tcBorders>
            <w:vAlign w:val="center"/>
          </w:tcPr>
          <w:p w14:paraId="4A8009E0">
            <w:pPr>
              <w:spacing w:line="48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w:t>
            </w:r>
          </w:p>
        </w:tc>
        <w:tc>
          <w:tcPr>
            <w:tcW w:w="7419" w:type="dxa"/>
            <w:tcBorders>
              <w:top w:val="single" w:color="auto" w:sz="4" w:space="0"/>
              <w:bottom w:val="single" w:color="auto" w:sz="4" w:space="0"/>
            </w:tcBorders>
            <w:vAlign w:val="center"/>
          </w:tcPr>
          <w:p w14:paraId="66A12CD1">
            <w:pPr>
              <w:pStyle w:val="193"/>
              <w:keepNext w:val="0"/>
              <w:keepLines w:val="0"/>
              <w:pageBreakBefore w:val="0"/>
              <w:widowControl w:val="0"/>
              <w:kinsoku/>
              <w:wordWrap/>
              <w:overflowPunct/>
              <w:topLinePunct w:val="0"/>
              <w:bidi w:val="0"/>
              <w:adjustRightInd/>
              <w:snapToGrid/>
              <w:spacing w:line="380" w:lineRule="atLeast"/>
              <w:ind w:left="6" w:right="54"/>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投标人提供2022年1月1日（以合同签订时间为准）以来类似管理平台项目业绩，每有一个得2分，满分</w:t>
            </w:r>
            <w:r>
              <w:rPr>
                <w:rFonts w:hint="eastAsia" w:cs="宋体"/>
                <w:color w:val="000000" w:themeColor="text1"/>
                <w:kern w:val="2"/>
                <w:sz w:val="21"/>
                <w:szCs w:val="21"/>
                <w:lang w:val="en-US" w:eastAsia="zh-CN" w:bidi="ar-SA"/>
                <w14:textFill>
                  <w14:solidFill>
                    <w14:schemeClr w14:val="tx1"/>
                  </w14:solidFill>
                </w14:textFill>
              </w:rPr>
              <w:t>4</w:t>
            </w:r>
            <w:r>
              <w:rPr>
                <w:rFonts w:hint="eastAsia" w:ascii="宋体" w:hAnsi="宋体" w:eastAsia="宋体" w:cs="宋体"/>
                <w:color w:val="000000" w:themeColor="text1"/>
                <w:kern w:val="2"/>
                <w:sz w:val="21"/>
                <w:szCs w:val="21"/>
                <w:lang w:val="en-US" w:eastAsia="zh-CN" w:bidi="ar-SA"/>
                <w14:textFill>
                  <w14:solidFill>
                    <w14:schemeClr w14:val="tx1"/>
                  </w14:solidFill>
                </w14:textFill>
              </w:rPr>
              <w:t>分。</w:t>
            </w:r>
          </w:p>
          <w:p w14:paraId="3E8271A7">
            <w:pPr>
              <w:keepNext w:val="0"/>
              <w:keepLines w:val="0"/>
              <w:pageBreakBefore w:val="0"/>
              <w:widowControl w:val="0"/>
              <w:kinsoku/>
              <w:wordWrap/>
              <w:overflowPunct/>
              <w:topLinePunct w:val="0"/>
              <w:bidi w:val="0"/>
              <w:adjustRightInd/>
              <w:snapToGrid/>
              <w:spacing w:line="380" w:lineRule="atLeast"/>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注：提供合同扫描件加盖公章。</w:t>
            </w:r>
          </w:p>
        </w:tc>
      </w:tr>
      <w:tr w14:paraId="68B66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79" w:type="dxa"/>
            <w:tcBorders>
              <w:top w:val="single" w:color="auto" w:sz="4" w:space="0"/>
              <w:bottom w:val="single" w:color="auto" w:sz="4" w:space="0"/>
            </w:tcBorders>
            <w:vAlign w:val="center"/>
          </w:tcPr>
          <w:p w14:paraId="0CE15B2C">
            <w:pPr>
              <w:spacing w:line="48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w:t>
            </w:r>
          </w:p>
        </w:tc>
        <w:tc>
          <w:tcPr>
            <w:tcW w:w="1539" w:type="dxa"/>
            <w:tcBorders>
              <w:top w:val="single" w:color="auto" w:sz="4" w:space="0"/>
              <w:bottom w:val="single" w:color="auto" w:sz="4" w:space="0"/>
            </w:tcBorders>
            <w:vAlign w:val="center"/>
          </w:tcPr>
          <w:p w14:paraId="2ADED2B4">
            <w:pPr>
              <w:spacing w:line="480" w:lineRule="exact"/>
              <w:jc w:val="center"/>
              <w:rPr>
                <w:rFonts w:hint="default" w:eastAsia="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团队实力</w:t>
            </w:r>
          </w:p>
        </w:tc>
        <w:tc>
          <w:tcPr>
            <w:tcW w:w="766" w:type="dxa"/>
            <w:tcBorders>
              <w:top w:val="single" w:color="auto" w:sz="4" w:space="0"/>
              <w:bottom w:val="single" w:color="auto" w:sz="4" w:space="0"/>
            </w:tcBorders>
            <w:vAlign w:val="center"/>
          </w:tcPr>
          <w:p w14:paraId="20DE663A">
            <w:pPr>
              <w:spacing w:line="480" w:lineRule="exact"/>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6</w:t>
            </w:r>
          </w:p>
        </w:tc>
        <w:tc>
          <w:tcPr>
            <w:tcW w:w="7419" w:type="dxa"/>
            <w:tcBorders>
              <w:top w:val="single" w:color="auto" w:sz="4" w:space="0"/>
              <w:bottom w:val="single" w:color="auto" w:sz="4" w:space="0"/>
            </w:tcBorders>
            <w:vAlign w:val="center"/>
          </w:tcPr>
          <w:p w14:paraId="70A12051">
            <w:pPr>
              <w:keepNext w:val="0"/>
              <w:keepLines w:val="0"/>
              <w:pageBreakBefore w:val="0"/>
              <w:widowControl w:val="0"/>
              <w:kinsoku/>
              <w:wordWrap/>
              <w:overflowPunct/>
              <w:topLinePunct w:val="0"/>
              <w:bidi w:val="0"/>
              <w:adjustRightInd/>
              <w:snapToGrid/>
              <w:spacing w:line="380" w:lineRule="atLeast"/>
              <w:jc w:val="left"/>
              <w:textAlignment w:val="auto"/>
              <w:rPr>
                <w:rFonts w:hint="default" w:eastAsia="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项目负责人</w:t>
            </w:r>
            <w:r>
              <w:rPr>
                <w:rFonts w:hint="eastAsia" w:ascii="宋体" w:hAnsi="宋体" w:cs="宋体"/>
                <w:color w:val="000000" w:themeColor="text1"/>
                <w:szCs w:val="21"/>
                <w:highlight w:val="none"/>
                <w14:textFill>
                  <w14:solidFill>
                    <w14:schemeClr w14:val="tx1"/>
                  </w14:solidFill>
                </w14:textFill>
              </w:rPr>
              <w:t>具有软件和信息系统开发行业项目管理</w:t>
            </w:r>
            <w:r>
              <w:rPr>
                <w:rFonts w:hint="eastAsia" w:ascii="宋体" w:hAnsi="宋体" w:cs="宋体"/>
                <w:color w:val="000000" w:themeColor="text1"/>
                <w:szCs w:val="21"/>
                <w:highlight w:val="none"/>
                <w:lang w:val="en-US" w:eastAsia="zh-CN"/>
                <w14:textFill>
                  <w14:solidFill>
                    <w14:schemeClr w14:val="tx1"/>
                  </w14:solidFill>
                </w14:textFill>
              </w:rPr>
              <w:t>或</w:t>
            </w:r>
            <w:r>
              <w:rPr>
                <w:rFonts w:hint="eastAsia" w:ascii="宋体" w:hAnsi="宋体" w:cs="宋体"/>
                <w:color w:val="000000" w:themeColor="text1"/>
                <w:szCs w:val="21"/>
                <w:highlight w:val="none"/>
                <w14:textFill>
                  <w14:solidFill>
                    <w14:schemeClr w14:val="tx1"/>
                  </w14:solidFill>
                </w14:textFill>
              </w:rPr>
              <w:t>系统设计</w:t>
            </w:r>
            <w:r>
              <w:rPr>
                <w:rFonts w:hint="eastAsia" w:ascii="宋体" w:hAnsi="宋体" w:cs="宋体"/>
                <w:color w:val="000000" w:themeColor="text1"/>
                <w:szCs w:val="21"/>
                <w:highlight w:val="none"/>
                <w:lang w:val="en-US" w:eastAsia="zh-CN"/>
                <w14:textFill>
                  <w14:solidFill>
                    <w14:schemeClr w14:val="tx1"/>
                  </w14:solidFill>
                </w14:textFill>
              </w:rPr>
              <w:t>或</w:t>
            </w:r>
            <w:r>
              <w:rPr>
                <w:rFonts w:hint="eastAsia" w:ascii="宋体" w:hAnsi="宋体" w:cs="宋体"/>
                <w:color w:val="000000" w:themeColor="text1"/>
                <w:szCs w:val="21"/>
                <w:highlight w:val="none"/>
                <w14:textFill>
                  <w14:solidFill>
                    <w14:schemeClr w14:val="tx1"/>
                  </w14:solidFill>
                </w14:textFill>
              </w:rPr>
              <w:t>系统开发</w:t>
            </w:r>
            <w:r>
              <w:rPr>
                <w:rFonts w:hint="eastAsia" w:ascii="宋体" w:hAnsi="宋体" w:cs="宋体"/>
                <w:color w:val="000000" w:themeColor="text1"/>
                <w:szCs w:val="21"/>
                <w:highlight w:val="none"/>
                <w:lang w:val="en-US" w:eastAsia="zh-CN"/>
                <w14:textFill>
                  <w14:solidFill>
                    <w14:schemeClr w14:val="tx1"/>
                  </w14:solidFill>
                </w14:textFill>
              </w:rPr>
              <w:t>或</w:t>
            </w:r>
            <w:r>
              <w:rPr>
                <w:rFonts w:hint="eastAsia" w:ascii="宋体" w:hAnsi="宋体" w:cs="宋体"/>
                <w:color w:val="000000" w:themeColor="text1"/>
                <w:szCs w:val="21"/>
                <w:highlight w:val="none"/>
                <w14:textFill>
                  <w14:solidFill>
                    <w14:schemeClr w14:val="tx1"/>
                  </w14:solidFill>
                </w14:textFill>
              </w:rPr>
              <w:t>系统集成等相关</w:t>
            </w:r>
            <w:r>
              <w:rPr>
                <w:rFonts w:hint="eastAsia" w:ascii="宋体" w:hAnsi="宋体" w:cs="宋体"/>
                <w:color w:val="000000" w:themeColor="text1"/>
                <w:szCs w:val="21"/>
                <w:highlight w:val="none"/>
                <w:lang w:val="en-US" w:eastAsia="zh-CN"/>
                <w14:textFill>
                  <w14:solidFill>
                    <w14:schemeClr w14:val="tx1"/>
                  </w14:solidFill>
                </w14:textFill>
              </w:rPr>
              <w:t>专业</w:t>
            </w:r>
            <w:r>
              <w:rPr>
                <w:rFonts w:hint="eastAsia" w:ascii="宋体" w:hAnsi="宋体" w:cs="宋体"/>
                <w:color w:val="000000" w:themeColor="text1"/>
                <w:szCs w:val="21"/>
                <w:highlight w:val="none"/>
                <w14:textFill>
                  <w14:solidFill>
                    <w14:schemeClr w14:val="tx1"/>
                  </w14:solidFill>
                </w14:textFill>
              </w:rPr>
              <w:t>具有高级职称的得</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项目组成员</w:t>
            </w:r>
            <w:r>
              <w:rPr>
                <w:rFonts w:hint="eastAsia" w:ascii="宋体" w:hAnsi="宋体" w:cs="宋体"/>
                <w:color w:val="000000" w:themeColor="text1"/>
                <w:szCs w:val="21"/>
                <w:highlight w:val="none"/>
                <w14:textFill>
                  <w14:solidFill>
                    <w14:schemeClr w14:val="tx1"/>
                  </w14:solidFill>
                </w14:textFill>
              </w:rPr>
              <w:t>具有</w:t>
            </w:r>
            <w:r>
              <w:rPr>
                <w:rFonts w:hint="eastAsia" w:ascii="宋体" w:hAnsi="宋体" w:cs="宋体"/>
                <w:color w:val="000000" w:themeColor="text1"/>
                <w:szCs w:val="21"/>
                <w:highlight w:val="none"/>
                <w:lang w:val="en-US" w:eastAsia="zh-CN"/>
                <w14:textFill>
                  <w14:solidFill>
                    <w14:schemeClr w14:val="tx1"/>
                  </w14:solidFill>
                </w14:textFill>
              </w:rPr>
              <w:t>以上</w:t>
            </w:r>
            <w:r>
              <w:rPr>
                <w:rFonts w:hint="eastAsia" w:ascii="宋体" w:hAnsi="宋体" w:cs="宋体"/>
                <w:color w:val="000000" w:themeColor="text1"/>
                <w:szCs w:val="21"/>
                <w:highlight w:val="none"/>
                <w14:textFill>
                  <w14:solidFill>
                    <w14:schemeClr w14:val="tx1"/>
                  </w14:solidFill>
                </w14:textFill>
              </w:rPr>
              <w:t>相关</w:t>
            </w:r>
            <w:r>
              <w:rPr>
                <w:rFonts w:hint="eastAsia" w:ascii="宋体" w:hAnsi="宋体" w:cs="宋体"/>
                <w:color w:val="000000" w:themeColor="text1"/>
                <w:szCs w:val="21"/>
                <w:highlight w:val="none"/>
                <w:lang w:val="en-US" w:eastAsia="zh-CN"/>
                <w14:textFill>
                  <w14:solidFill>
                    <w14:schemeClr w14:val="tx1"/>
                  </w14:solidFill>
                </w14:textFill>
              </w:rPr>
              <w:t>专业</w:t>
            </w:r>
            <w:r>
              <w:rPr>
                <w:rFonts w:hint="eastAsia" w:ascii="宋体" w:hAnsi="宋体" w:cs="宋体"/>
                <w:color w:val="000000" w:themeColor="text1"/>
                <w:szCs w:val="21"/>
                <w:highlight w:val="none"/>
                <w14:textFill>
                  <w14:solidFill>
                    <w14:schemeClr w14:val="tx1"/>
                  </w14:solidFill>
                </w14:textFill>
              </w:rPr>
              <w:t>高级职称的，每有一个得</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lang w:val="en-US" w:eastAsia="zh-CN"/>
                <w14:textFill>
                  <w14:solidFill>
                    <w14:schemeClr w14:val="tx1"/>
                  </w14:solidFill>
                </w14:textFill>
              </w:rPr>
              <w:t>或</w:t>
            </w:r>
            <w:r>
              <w:rPr>
                <w:rFonts w:hint="eastAsia" w:ascii="宋体" w:hAnsi="宋体" w:cs="宋体"/>
                <w:color w:val="000000" w:themeColor="text1"/>
                <w:szCs w:val="21"/>
                <w:highlight w:val="none"/>
                <w14:textFill>
                  <w14:solidFill>
                    <w14:schemeClr w14:val="tx1"/>
                  </w14:solidFill>
                </w14:textFill>
              </w:rPr>
              <w:t>具</w:t>
            </w:r>
            <w:r>
              <w:rPr>
                <w:rFonts w:hint="eastAsia" w:ascii="宋体" w:hAnsi="宋体" w:cs="宋体"/>
                <w:color w:val="000000" w:themeColor="text1"/>
                <w:szCs w:val="21"/>
                <w:highlight w:val="none"/>
                <w:lang w:val="en-US" w:eastAsia="zh-CN"/>
                <w14:textFill>
                  <w14:solidFill>
                    <w14:schemeClr w14:val="tx1"/>
                  </w14:solidFill>
                </w14:textFill>
              </w:rPr>
              <w:t>以上</w:t>
            </w:r>
            <w:r>
              <w:rPr>
                <w:rFonts w:hint="eastAsia" w:ascii="宋体" w:hAnsi="宋体" w:cs="宋体"/>
                <w:color w:val="000000" w:themeColor="text1"/>
                <w:szCs w:val="21"/>
                <w:highlight w:val="none"/>
                <w14:textFill>
                  <w14:solidFill>
                    <w14:schemeClr w14:val="tx1"/>
                  </w14:solidFill>
                </w14:textFill>
              </w:rPr>
              <w:t>相关</w:t>
            </w:r>
            <w:r>
              <w:rPr>
                <w:rFonts w:hint="eastAsia" w:ascii="宋体" w:hAnsi="宋体" w:cs="宋体"/>
                <w:color w:val="000000" w:themeColor="text1"/>
                <w:szCs w:val="21"/>
                <w:highlight w:val="none"/>
                <w:lang w:val="en-US" w:eastAsia="zh-CN"/>
                <w14:textFill>
                  <w14:solidFill>
                    <w14:schemeClr w14:val="tx1"/>
                  </w14:solidFill>
                </w14:textFill>
              </w:rPr>
              <w:t>专业</w:t>
            </w:r>
            <w:r>
              <w:rPr>
                <w:rFonts w:hint="eastAsia" w:ascii="宋体" w:hAnsi="宋体" w:cs="宋体"/>
                <w:color w:val="000000" w:themeColor="text1"/>
                <w:szCs w:val="21"/>
                <w:highlight w:val="none"/>
                <w14:textFill>
                  <w14:solidFill>
                    <w14:schemeClr w14:val="tx1"/>
                  </w14:solidFill>
                </w14:textFill>
              </w:rPr>
              <w:t>中级职称的，每有一个得</w:t>
            </w:r>
            <w:r>
              <w:rPr>
                <w:rFonts w:hint="eastAsia" w:ascii="宋体" w:hAnsi="宋体" w:cs="宋体"/>
                <w:color w:val="000000" w:themeColor="text1"/>
                <w:szCs w:val="21"/>
                <w:highlight w:val="none"/>
                <w:lang w:val="en-US" w:eastAsia="zh-CN"/>
                <w14:textFill>
                  <w14:solidFill>
                    <w14:schemeClr w14:val="tx1"/>
                  </w14:solidFill>
                </w14:textFill>
              </w:rPr>
              <w:t>0.5</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注:此项满分</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每</w:t>
            </w:r>
            <w:r>
              <w:rPr>
                <w:rFonts w:hint="eastAsia" w:ascii="宋体" w:hAnsi="宋体" w:cs="宋体"/>
                <w:color w:val="000000" w:themeColor="text1"/>
                <w:szCs w:val="21"/>
                <w:highlight w:val="none"/>
                <w14:textFill>
                  <w14:solidFill>
                    <w14:schemeClr w14:val="tx1"/>
                  </w14:solidFill>
                </w14:textFill>
              </w:rPr>
              <w:t>人</w:t>
            </w:r>
            <w:r>
              <w:rPr>
                <w:rFonts w:hint="eastAsia" w:ascii="宋体" w:hAnsi="宋体" w:cs="宋体"/>
                <w:color w:val="000000" w:themeColor="text1"/>
                <w:szCs w:val="21"/>
                <w:highlight w:val="none"/>
                <w:lang w:val="en-US" w:eastAsia="zh-CN"/>
                <w14:textFill>
                  <w14:solidFill>
                    <w14:schemeClr w14:val="tx1"/>
                  </w14:solidFill>
                </w14:textFill>
              </w:rPr>
              <w:t>只记分一次</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投标提供相关证书及</w:t>
            </w:r>
            <w:r>
              <w:rPr>
                <w:rFonts w:hint="eastAsia" w:ascii="宋体" w:hAnsi="宋体" w:eastAsia="宋体" w:cs="宋体"/>
                <w:color w:val="000000" w:themeColor="text1"/>
                <w:szCs w:val="21"/>
                <w:highlight w:val="none"/>
                <w:lang w:val="en-US" w:eastAsia="zh-CN"/>
                <w14:textFill>
                  <w14:solidFill>
                    <w14:schemeClr w14:val="tx1"/>
                  </w14:solidFill>
                </w14:textFill>
              </w:rPr>
              <w:t>开标前三个月以来任意一个月的社保证明。</w:t>
            </w:r>
          </w:p>
        </w:tc>
      </w:tr>
      <w:tr w14:paraId="7D4A3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579" w:type="dxa"/>
            <w:tcBorders>
              <w:top w:val="single" w:color="auto" w:sz="4" w:space="0"/>
              <w:bottom w:val="single" w:color="auto" w:sz="4" w:space="0"/>
            </w:tcBorders>
            <w:vAlign w:val="center"/>
          </w:tcPr>
          <w:p w14:paraId="530033BB">
            <w:pPr>
              <w:spacing w:line="48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w:t>
            </w:r>
          </w:p>
        </w:tc>
        <w:tc>
          <w:tcPr>
            <w:tcW w:w="1539" w:type="dxa"/>
            <w:tcBorders>
              <w:top w:val="single" w:color="auto" w:sz="4" w:space="0"/>
              <w:bottom w:val="single" w:color="auto" w:sz="4" w:space="0"/>
            </w:tcBorders>
            <w:vAlign w:val="center"/>
          </w:tcPr>
          <w:p w14:paraId="65C86787">
            <w:pPr>
              <w:spacing w:line="48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企业综合实力</w:t>
            </w:r>
          </w:p>
        </w:tc>
        <w:tc>
          <w:tcPr>
            <w:tcW w:w="766" w:type="dxa"/>
            <w:tcBorders>
              <w:top w:val="single" w:color="auto" w:sz="4" w:space="0"/>
              <w:bottom w:val="single" w:color="auto" w:sz="4" w:space="0"/>
            </w:tcBorders>
            <w:vAlign w:val="center"/>
          </w:tcPr>
          <w:p w14:paraId="4C2C4A48">
            <w:pPr>
              <w:spacing w:line="48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w:t>
            </w:r>
          </w:p>
        </w:tc>
        <w:tc>
          <w:tcPr>
            <w:tcW w:w="7419" w:type="dxa"/>
            <w:tcBorders>
              <w:top w:val="single" w:color="auto" w:sz="4" w:space="0"/>
              <w:bottom w:val="single" w:color="auto" w:sz="4" w:space="0"/>
            </w:tcBorders>
            <w:vAlign w:val="center"/>
          </w:tcPr>
          <w:p w14:paraId="4B7BE5A6">
            <w:pPr>
              <w:spacing w:line="360" w:lineRule="exact"/>
              <w:jc w:val="left"/>
              <w:rPr>
                <w:rFonts w:hint="eastAsia"/>
                <w:color w:val="000000" w:themeColor="text1"/>
                <w:szCs w:val="21"/>
                <w:highlight w:val="yellow"/>
                <w14:textFill>
                  <w14:solidFill>
                    <w14:schemeClr w14:val="tx1"/>
                  </w14:solidFill>
                </w14:textFill>
              </w:rPr>
            </w:pPr>
            <w:r>
              <w:rPr>
                <w:rFonts w:hint="eastAsia"/>
                <w:color w:val="000000" w:themeColor="text1"/>
                <w:szCs w:val="21"/>
                <w:highlight w:val="none"/>
                <w14:textFill>
                  <w14:solidFill>
                    <w14:schemeClr w14:val="tx1"/>
                  </w14:solidFill>
                </w14:textFill>
              </w:rPr>
              <w:t>投标人具有</w:t>
            </w:r>
            <w:r>
              <w:rPr>
                <w:color w:val="000000" w:themeColor="text1"/>
                <w:szCs w:val="21"/>
                <w:highlight w:val="none"/>
                <w14:textFill>
                  <w14:solidFill>
                    <w14:schemeClr w14:val="tx1"/>
                  </w14:solidFill>
                </w14:textFill>
              </w:rPr>
              <w:t>ISO9001</w:t>
            </w:r>
            <w:r>
              <w:rPr>
                <w:rFonts w:hint="eastAsia"/>
                <w:color w:val="000000" w:themeColor="text1"/>
                <w:szCs w:val="21"/>
                <w:highlight w:val="none"/>
                <w14:textFill>
                  <w14:solidFill>
                    <w14:schemeClr w14:val="tx1"/>
                  </w14:solidFill>
                </w14:textFill>
              </w:rPr>
              <w:t>质量管理体系认证</w:t>
            </w:r>
            <w:r>
              <w:rPr>
                <w:rFonts w:hint="eastAsia"/>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信息安全</w:t>
            </w:r>
            <w:r>
              <w:rPr>
                <w:rFonts w:hint="eastAsia" w:ascii="宋体" w:hAnsi="宋体" w:cs="宋体"/>
                <w:color w:val="000000" w:themeColor="text1"/>
                <w:szCs w:val="21"/>
                <w:highlight w:val="none"/>
                <w:lang w:val="en-US" w:eastAsia="zh-CN"/>
                <w14:textFill>
                  <w14:solidFill>
                    <w14:schemeClr w14:val="tx1"/>
                  </w14:solidFill>
                </w14:textFill>
              </w:rPr>
              <w:t>体系</w:t>
            </w:r>
            <w:r>
              <w:rPr>
                <w:rFonts w:hint="eastAsia" w:ascii="宋体" w:hAnsi="宋体" w:eastAsia="宋体" w:cs="宋体"/>
                <w:color w:val="000000" w:themeColor="text1"/>
                <w:szCs w:val="21"/>
                <w:highlight w:val="none"/>
                <w:lang w:val="zh-CN"/>
                <w14:textFill>
                  <w14:solidFill>
                    <w14:schemeClr w14:val="tx1"/>
                  </w14:solidFill>
                </w14:textFill>
              </w:rPr>
              <w:t>认证每提供一份得</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分，</w:t>
            </w:r>
            <w:r>
              <w:rPr>
                <w:rFonts w:hint="eastAsia" w:ascii="宋体" w:hAnsi="宋体" w:eastAsia="宋体" w:cs="宋体"/>
                <w:color w:val="000000" w:themeColor="text1"/>
                <w:szCs w:val="21"/>
                <w:highlight w:val="none"/>
                <w:lang w:val="en-US" w:eastAsia="zh-CN"/>
                <w14:textFill>
                  <w14:solidFill>
                    <w14:schemeClr w14:val="tx1"/>
                  </w14:solidFill>
                </w14:textFill>
              </w:rPr>
              <w:t>最高得3</w:t>
            </w:r>
            <w:r>
              <w:rPr>
                <w:rFonts w:hint="eastAsia" w:ascii="宋体" w:hAnsi="宋体" w:eastAsia="宋体" w:cs="宋体"/>
                <w:color w:val="000000" w:themeColor="text1"/>
                <w:szCs w:val="21"/>
                <w:highlight w:val="none"/>
                <w:lang w:val="zh-CN"/>
                <w14:textFill>
                  <w14:solidFill>
                    <w14:schemeClr w14:val="tx1"/>
                  </w14:solidFill>
                </w14:textFill>
              </w:rPr>
              <w:t>分。（</w:t>
            </w:r>
            <w:r>
              <w:rPr>
                <w:rFonts w:hint="eastAsia" w:ascii="宋体" w:hAnsi="宋体" w:eastAsia="宋体" w:cs="宋体"/>
                <w:color w:val="000000" w:themeColor="text1"/>
                <w:szCs w:val="21"/>
                <w:highlight w:val="none"/>
                <w:lang w:val="en-US" w:eastAsia="zh-CN"/>
                <w14:textFill>
                  <w14:solidFill>
                    <w14:schemeClr w14:val="tx1"/>
                  </w14:solidFill>
                </w14:textFill>
              </w:rPr>
              <w:t>提供以上证书在全国认证认可信息公共服务平台查询截图）</w:t>
            </w:r>
          </w:p>
        </w:tc>
      </w:tr>
      <w:tr w14:paraId="21C6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579" w:type="dxa"/>
            <w:tcBorders>
              <w:top w:val="single" w:color="auto" w:sz="4" w:space="0"/>
              <w:bottom w:val="single" w:color="auto" w:sz="4" w:space="0"/>
            </w:tcBorders>
            <w:vAlign w:val="center"/>
          </w:tcPr>
          <w:p w14:paraId="2D05E95F">
            <w:pPr>
              <w:spacing w:line="48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w:t>
            </w:r>
          </w:p>
        </w:tc>
        <w:tc>
          <w:tcPr>
            <w:tcW w:w="1539" w:type="dxa"/>
            <w:tcBorders>
              <w:top w:val="single" w:color="auto" w:sz="4" w:space="0"/>
              <w:bottom w:val="single" w:color="auto" w:sz="4" w:space="0"/>
            </w:tcBorders>
            <w:vAlign w:val="center"/>
          </w:tcPr>
          <w:p w14:paraId="56D699A2">
            <w:pPr>
              <w:spacing w:line="4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诚信投标</w:t>
            </w:r>
          </w:p>
        </w:tc>
        <w:tc>
          <w:tcPr>
            <w:tcW w:w="766" w:type="dxa"/>
            <w:tcBorders>
              <w:top w:val="single" w:color="auto" w:sz="4" w:space="0"/>
              <w:bottom w:val="single" w:color="auto" w:sz="4" w:space="0"/>
            </w:tcBorders>
            <w:vAlign w:val="center"/>
          </w:tcPr>
          <w:p w14:paraId="01D0B791">
            <w:pPr>
              <w:spacing w:line="48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7419" w:type="dxa"/>
            <w:tcBorders>
              <w:top w:val="single" w:color="auto" w:sz="4" w:space="0"/>
              <w:bottom w:val="single" w:color="auto" w:sz="4" w:space="0"/>
            </w:tcBorders>
            <w:vAlign w:val="center"/>
          </w:tcPr>
          <w:p w14:paraId="3F1EF5BD">
            <w:pPr>
              <w:spacing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投标人提供盐城市大丰区招标采购供应商承诺书的，得</w:t>
            </w:r>
            <w:r>
              <w:rPr>
                <w:rFonts w:hint="eastAsia"/>
                <w:color w:val="000000" w:themeColor="text1"/>
                <w:szCs w:val="21"/>
                <w:lang w:val="en-US" w:eastAsia="zh-CN"/>
                <w14:textFill>
                  <w14:solidFill>
                    <w14:schemeClr w14:val="tx1"/>
                  </w14:solidFill>
                </w14:textFill>
              </w:rPr>
              <w:t>1</w:t>
            </w:r>
            <w:r>
              <w:rPr>
                <w:rFonts w:hint="eastAsia"/>
                <w:color w:val="000000" w:themeColor="text1"/>
                <w:szCs w:val="21"/>
                <w14:textFill>
                  <w14:solidFill>
                    <w14:schemeClr w14:val="tx1"/>
                  </w14:solidFill>
                </w14:textFill>
              </w:rPr>
              <w:t>分；没有提供的不得分。</w:t>
            </w:r>
          </w:p>
        </w:tc>
      </w:tr>
    </w:tbl>
    <w:p w14:paraId="4C89FC21">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20" w:firstLineChars="200"/>
        <w:textAlignment w:val="auto"/>
        <w:rPr>
          <w:rFonts w:ascii="宋体" w:hAnsi="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所有技术响应文件、资质响应文件等都作为项目最后验收的标准。</w:t>
      </w:r>
      <w:r>
        <w:rPr>
          <w:rFonts w:hint="eastAsia" w:ascii="宋体" w:hAnsi="宋体"/>
          <w:b/>
          <w:bCs/>
          <w:color w:val="000000" w:themeColor="text1"/>
          <w:szCs w:val="21"/>
          <w14:textFill>
            <w14:solidFill>
              <w14:schemeClr w14:val="tx1"/>
            </w14:solidFill>
          </w14:textFill>
        </w:rPr>
        <w:t>招标人有权在中标公告期间、签约前后、合同履行期间等任何环节对相关资料的真实性进行核验，如发现提供虚假资料，招标人将依法取消其中标资格。</w:t>
      </w:r>
    </w:p>
    <w:p w14:paraId="649A5BB9">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20"/>
        <w:textAlignment w:val="auto"/>
        <w:rPr>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评委应记名打分，打分未记名的或未按招标文件规定的评标办法打分的，一律按无效打分处理。各项汇总时，每大项记分保留两位小数（第三位四舍五入）；总得分汇总时保留两位小数（第三位四舍五入）。</w:t>
      </w:r>
    </w:p>
    <w:p w14:paraId="10BDAAF7">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3.评标程序</w:t>
      </w:r>
    </w:p>
    <w:p w14:paraId="575488A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3.1 评标准备</w:t>
      </w:r>
    </w:p>
    <w:p w14:paraId="610ADD4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3.1.1 评标委员会成员到达评标现场时应在签到表上签到（或通过门禁系统签到）以证明其出席。</w:t>
      </w:r>
    </w:p>
    <w:p w14:paraId="78D80DF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3.1.2 评标委员会成员首先推选一名评标委员会负责人，负责评标活动的组织领导工作。</w:t>
      </w:r>
    </w:p>
    <w:p w14:paraId="139C8B6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3.1.3 招标人或招标代理机构应向评标委员会提供评标所需的信息和数据。评标委员会负责人应组织评标委员会成员认真研究招标文件，未在招标文件中规定的标准和方法不得作为评标的依据。</w:t>
      </w:r>
    </w:p>
    <w:p w14:paraId="779CE42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3.2 初步评审</w:t>
      </w:r>
    </w:p>
    <w:p w14:paraId="58E8AD8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3.2.1评标委员会依据本章第2.1 款规定的标准对投标文件进行初步评审。</w:t>
      </w:r>
    </w:p>
    <w:p w14:paraId="7156622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3.2.2投标文件不符合本章第2.1款评审标准的，属于重大偏差，视为未能对招标文件作出实质性响应，应当作为无效投标予以否决。</w:t>
      </w:r>
    </w:p>
    <w:p w14:paraId="1A01001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3.2.3对照投标人须知6.4款，投标文件有上述情况之一，视为未能对招标文件作出实质性响应，凡招标文件未明确标明无效标条款的，评标委员会不得作为判定无效投标的依据。</w:t>
      </w:r>
    </w:p>
    <w:p w14:paraId="336C23C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3.2.4 投标报价有算术错误的，评标委员会按以下原则对投标报价进行修正，修正的价格经投标人书面确认后具有约束力。</w:t>
      </w:r>
    </w:p>
    <w:p w14:paraId="56A56B7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(1）投标文件中的大写金额与小写金额不一致的，以大写金额为准；</w:t>
      </w:r>
    </w:p>
    <w:p w14:paraId="2317F2A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(2）总价金额与依据单价计算出的结果不一致的，以单价金额为准修正总价，但单价金额小数点有明显错误的除外。</w:t>
      </w:r>
    </w:p>
    <w:p w14:paraId="68C5666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3.2.5只有通过初步评审的投标文件才能进入详细评审。</w:t>
      </w:r>
    </w:p>
    <w:p w14:paraId="77F781C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3.3 详细评审</w:t>
      </w:r>
    </w:p>
    <w:p w14:paraId="6D3A4D6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3.3.1 在详细评审发现符合“无效标书条款”的，应当作为无效投标予以否决，其投标报价亦不作为评标基准价的依据。</w:t>
      </w:r>
    </w:p>
    <w:p w14:paraId="70B8B63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3.3.2 评标委员会按本章第2.2款规定的量化因素和分值进行打分，并计算出综合评估得分。</w:t>
      </w:r>
    </w:p>
    <w:p w14:paraId="7934678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3.3.3 评分分值计算保留小数点后两位，小数点后第三位“四舍五入”。</w:t>
      </w:r>
    </w:p>
    <w:p w14:paraId="6A747B6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3.4 投标文件的澄清和补正</w:t>
      </w:r>
    </w:p>
    <w:p w14:paraId="11AE5A9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3.4.1 在评标过程中，评标委员会可以书面形式要求投标人对所提交投标文件中不明确的内容进行书面澄清或说明，或者对细微偏差进行补正。评标委员会不接受投标人主动提出的澄清、说明或补正。</w:t>
      </w:r>
    </w:p>
    <w:p w14:paraId="68D6DDB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3.4.2 澄清、说明和补正不得改变投标文件的实质性内容（算术性错误修正的除外）。投标人的书面澄清、说明和补正属于投标文件的组成部分。</w:t>
      </w:r>
    </w:p>
    <w:p w14:paraId="1605E8B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3.4.3 评标委员会对投标人提交的澄清、说明或补正有疑问的，可以要求投标人进一步澄清、说明或补正。</w:t>
      </w:r>
    </w:p>
    <w:p w14:paraId="7BBE7A4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3.5 推荐中标候选人或直接确定中标人</w:t>
      </w:r>
    </w:p>
    <w:p w14:paraId="55657A3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3.5.1 除投标人须知前附表授权直接确定中标人外，评标委员会在推荐中标候选人时，应遵照以下原则:</w:t>
      </w:r>
    </w:p>
    <w:p w14:paraId="310E5F0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评标委员会按照最终得分由高至低的次序排列，并根据投标人须知前附表规定的中标候选人数量，将排序在前的投标人推荐为中标候选人。</w:t>
      </w:r>
    </w:p>
    <w:p w14:paraId="0F60819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3.6 提交评标报告 </w:t>
      </w:r>
    </w:p>
    <w:p w14:paraId="04581C8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000000" w:themeColor="text1"/>
          <w:sz w:val="24"/>
          <w14:textFill>
            <w14:solidFill>
              <w14:schemeClr w14:val="tx1"/>
            </w14:solidFill>
          </w14:textFill>
        </w:rPr>
      </w:pPr>
      <w:r>
        <w:rPr>
          <w:color w:val="000000" w:themeColor="text1"/>
          <w:szCs w:val="21"/>
          <w14:textFill>
            <w14:solidFill>
              <w14:schemeClr w14:val="tx1"/>
            </w14:solidFill>
          </w14:textFill>
        </w:rPr>
        <w:t>评标委员会完成评标后，应当向招标人提交书面评标报告。评标报告应当由全体评标委员会成员签字，并于评标结束时抄送有关监督部门。</w:t>
      </w:r>
    </w:p>
    <w:bookmarkEnd w:id="409"/>
    <w:bookmarkEnd w:id="410"/>
    <w:bookmarkEnd w:id="411"/>
    <w:bookmarkEnd w:id="412"/>
    <w:p w14:paraId="434A3F81">
      <w:pPr>
        <w:pStyle w:val="3"/>
        <w:spacing w:before="0" w:after="0" w:line="360" w:lineRule="auto"/>
        <w:rPr>
          <w:b w:val="0"/>
          <w:bCs w:val="0"/>
          <w:color w:val="000000" w:themeColor="text1"/>
          <w14:textFill>
            <w14:solidFill>
              <w14:schemeClr w14:val="tx1"/>
            </w14:solidFill>
          </w14:textFill>
        </w:rPr>
      </w:pPr>
      <w:bookmarkStart w:id="415" w:name="_Toc508216951"/>
      <w:r>
        <w:rPr>
          <w:b w:val="0"/>
          <w:bCs w:val="0"/>
          <w:color w:val="000000" w:themeColor="text1"/>
          <w:kern w:val="0"/>
          <w:sz w:val="24"/>
          <w:szCs w:val="24"/>
          <w14:textFill>
            <w14:solidFill>
              <w14:schemeClr w14:val="tx1"/>
            </w14:solidFill>
          </w14:textFill>
        </w:rPr>
        <w:br w:type="page"/>
      </w:r>
    </w:p>
    <w:p w14:paraId="62A081E4">
      <w:pPr>
        <w:pStyle w:val="3"/>
        <w:spacing w:before="0" w:after="0" w:line="360" w:lineRule="auto"/>
        <w:rPr>
          <w:rFonts w:hAnsi="宋体" w:cs="宋体"/>
          <w:color w:val="000000" w:themeColor="text1"/>
          <w:sz w:val="21"/>
          <w:szCs w:val="21"/>
          <w14:textFill>
            <w14:solidFill>
              <w14:schemeClr w14:val="tx1"/>
            </w14:solidFill>
          </w14:textFill>
        </w:rPr>
      </w:pPr>
      <w:bookmarkStart w:id="416" w:name="_Toc151229427"/>
      <w:bookmarkStart w:id="417" w:name="_Toc5407"/>
      <w:r>
        <w:rPr>
          <w:color w:val="000000" w:themeColor="text1"/>
          <w14:textFill>
            <w14:solidFill>
              <w14:schemeClr w14:val="tx1"/>
            </w14:solidFill>
          </w14:textFill>
        </w:rPr>
        <w:t>第四章  合同条款及格式</w:t>
      </w:r>
      <w:bookmarkEnd w:id="415"/>
      <w:bookmarkEnd w:id="416"/>
      <w:bookmarkEnd w:id="417"/>
      <w:bookmarkStart w:id="418" w:name="_Toc24605"/>
      <w:bookmarkStart w:id="419" w:name="_Toc397928630"/>
      <w:bookmarkStart w:id="420" w:name="_Toc508216954"/>
      <w:bookmarkStart w:id="421" w:name="_Toc7525"/>
    </w:p>
    <w:p w14:paraId="42A3E783">
      <w:pPr>
        <w:pStyle w:val="26"/>
        <w:snapToGrid w:val="0"/>
        <w:spacing w:line="500" w:lineRule="exact"/>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甲    方：</w:t>
      </w:r>
      <w:r>
        <w:rPr>
          <w:rFonts w:hint="eastAsia" w:hAnsi="宋体" w:cs="宋体"/>
          <w:color w:val="000000" w:themeColor="text1"/>
          <w:sz w:val="21"/>
          <w:szCs w:val="21"/>
          <w:u w:val="single"/>
          <w14:textFill>
            <w14:solidFill>
              <w14:schemeClr w14:val="tx1"/>
            </w14:solidFill>
          </w14:textFill>
        </w:rPr>
        <w:t xml:space="preserve">                            </w:t>
      </w:r>
      <w:r>
        <w:rPr>
          <w:rFonts w:hint="eastAsia" w:hAnsi="宋体" w:cs="宋体"/>
          <w:color w:val="000000" w:themeColor="text1"/>
          <w:sz w:val="21"/>
          <w:szCs w:val="21"/>
          <w14:textFill>
            <w14:solidFill>
              <w14:schemeClr w14:val="tx1"/>
            </w14:solidFill>
          </w14:textFill>
        </w:rPr>
        <w:t xml:space="preserve"> </w:t>
      </w:r>
    </w:p>
    <w:p w14:paraId="24F564B5">
      <w:pPr>
        <w:pStyle w:val="26"/>
        <w:snapToGrid w:val="0"/>
        <w:spacing w:line="500" w:lineRule="exact"/>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乙    方：</w:t>
      </w:r>
      <w:r>
        <w:rPr>
          <w:rFonts w:hint="eastAsia" w:hAnsi="宋体" w:cs="宋体"/>
          <w:color w:val="000000" w:themeColor="text1"/>
          <w:sz w:val="21"/>
          <w:szCs w:val="21"/>
          <w:u w:val="single"/>
          <w14:textFill>
            <w14:solidFill>
              <w14:schemeClr w14:val="tx1"/>
            </w14:solidFill>
          </w14:textFill>
        </w:rPr>
        <w:t xml:space="preserve">                            </w:t>
      </w:r>
      <w:r>
        <w:rPr>
          <w:rFonts w:hint="eastAsia" w:hAnsi="宋体" w:cs="宋体"/>
          <w:color w:val="000000" w:themeColor="text1"/>
          <w:sz w:val="21"/>
          <w:szCs w:val="21"/>
          <w14:textFill>
            <w14:solidFill>
              <w14:schemeClr w14:val="tx1"/>
            </w14:solidFill>
          </w14:textFill>
        </w:rPr>
        <w:t xml:space="preserve"> </w:t>
      </w:r>
    </w:p>
    <w:p w14:paraId="074CF3D7">
      <w:pPr>
        <w:pStyle w:val="26"/>
        <w:snapToGrid w:val="0"/>
        <w:spacing w:line="500" w:lineRule="exact"/>
        <w:rPr>
          <w:rFonts w:hint="eastAsia" w:hAnsi="宋体" w:cs="宋体"/>
          <w:color w:val="000000" w:themeColor="text1"/>
          <w:sz w:val="21"/>
          <w:szCs w:val="21"/>
          <w14:textFill>
            <w14:solidFill>
              <w14:schemeClr w14:val="tx1"/>
            </w14:solidFill>
          </w14:textFill>
        </w:rPr>
      </w:pPr>
    </w:p>
    <w:p w14:paraId="23E8E1FD">
      <w:pPr>
        <w:spacing w:line="360" w:lineRule="auto"/>
        <w:ind w:firstLine="447" w:firstLineChars="213"/>
        <w:rPr>
          <w:rFonts w:hint="eastAsia" w:hAnsi="宋体" w:cs="宋体"/>
          <w:bCs/>
          <w:color w:val="000000" w:themeColor="text1"/>
          <w:szCs w:val="21"/>
          <w:lang w:val="zh-CN"/>
          <w14:textFill>
            <w14:solidFill>
              <w14:schemeClr w14:val="tx1"/>
            </w14:solidFill>
          </w14:textFill>
        </w:rPr>
      </w:pPr>
      <w:r>
        <w:rPr>
          <w:rFonts w:hint="eastAsia" w:hAnsi="宋体" w:cs="宋体"/>
          <w:bCs/>
          <w:color w:val="000000" w:themeColor="text1"/>
          <w:szCs w:val="21"/>
          <w:lang w:val="zh-CN"/>
          <w14:textFill>
            <w14:solidFill>
              <w14:schemeClr w14:val="tx1"/>
            </w14:solidFill>
          </w14:textFill>
        </w:rPr>
        <w:t>根据</w:t>
      </w:r>
      <w:r>
        <w:rPr>
          <w:rFonts w:hint="eastAsia" w:ascii="宋体" w:hAnsi="宋体" w:eastAsia="宋体" w:cs="宋体"/>
          <w:bCs/>
          <w:color w:val="000000" w:themeColor="text1"/>
          <w:sz w:val="21"/>
          <w:szCs w:val="21"/>
          <w14:textFill>
            <w14:solidFill>
              <w14:schemeClr w14:val="tx1"/>
            </w14:solidFill>
          </w14:textFill>
        </w:rPr>
        <w:t>《中华人民共和国民法典》</w:t>
      </w:r>
      <w:r>
        <w:rPr>
          <w:rFonts w:hint="eastAsia" w:ascii="宋体" w:hAnsi="宋体" w:eastAsia="宋体" w:cs="宋体"/>
          <w:bCs/>
          <w:color w:val="000000" w:themeColor="text1"/>
          <w:sz w:val="21"/>
          <w:szCs w:val="21"/>
          <w:lang w:val="en-US" w:eastAsia="zh-CN"/>
          <w14:textFill>
            <w14:solidFill>
              <w14:schemeClr w14:val="tx1"/>
            </w14:solidFill>
          </w14:textFill>
        </w:rPr>
        <w:t>并结合</w:t>
      </w:r>
      <w:r>
        <w:rPr>
          <w:rFonts w:hint="eastAsia" w:hAnsi="宋体" w:cs="宋体"/>
          <w:bCs/>
          <w:color w:val="000000" w:themeColor="text1"/>
          <w:szCs w:val="21"/>
          <w:lang w:val="zh-CN"/>
          <w14:textFill>
            <w14:solidFill>
              <w14:schemeClr w14:val="tx1"/>
            </w14:solidFill>
          </w14:textFill>
        </w:rPr>
        <w:t>招标文件及乙方的投标文件和中标通知书，甲乙双方就此次中标的</w:t>
      </w:r>
      <w:r>
        <w:rPr>
          <w:rFonts w:hint="eastAsia" w:ascii="Times New Roman" w:hAnsi="宋体" w:eastAsia="宋体" w:cs="宋体"/>
          <w:bCs/>
          <w:color w:val="000000" w:themeColor="text1"/>
          <w:szCs w:val="21"/>
          <w:u w:val="single"/>
          <w:lang w:val="en-US" w:eastAsia="zh-CN"/>
          <w14:textFill>
            <w14:solidFill>
              <w14:schemeClr w14:val="tx1"/>
            </w14:solidFill>
          </w14:textFill>
        </w:rPr>
        <w:t>大丰区农村生活污水智慧管理平台（二期）</w:t>
      </w:r>
      <w:r>
        <w:rPr>
          <w:rFonts w:hint="eastAsia" w:ascii="Times New Roman" w:hAnsi="宋体" w:eastAsia="宋体" w:cs="宋体"/>
          <w:bCs/>
          <w:color w:val="000000" w:themeColor="text1"/>
          <w:szCs w:val="21"/>
          <w:u w:val="none"/>
          <w:lang w:val="zh-CN"/>
          <w14:textFill>
            <w14:solidFill>
              <w14:schemeClr w14:val="tx1"/>
            </w14:solidFill>
          </w14:textFill>
        </w:rPr>
        <w:t>事</w:t>
      </w:r>
      <w:r>
        <w:rPr>
          <w:rFonts w:hint="eastAsia" w:hAnsi="宋体" w:cs="宋体"/>
          <w:bCs/>
          <w:color w:val="000000" w:themeColor="text1"/>
          <w:szCs w:val="21"/>
          <w:u w:val="none"/>
          <w:lang w:val="zh-CN"/>
          <w14:textFill>
            <w14:solidFill>
              <w14:schemeClr w14:val="tx1"/>
            </w14:solidFill>
          </w14:textFill>
        </w:rPr>
        <w:t>宜</w:t>
      </w:r>
      <w:r>
        <w:rPr>
          <w:rFonts w:hint="eastAsia" w:hAnsi="宋体" w:cs="宋体"/>
          <w:bCs/>
          <w:color w:val="000000" w:themeColor="text1"/>
          <w:szCs w:val="21"/>
          <w:lang w:val="zh-CN"/>
          <w14:textFill>
            <w14:solidFill>
              <w14:schemeClr w14:val="tx1"/>
            </w14:solidFill>
          </w14:textFill>
        </w:rPr>
        <w:t>，根据招标法有关规定，甲乙双方经平等协商，达成本合同(简称合同，下同)，合同内容包括具体条款、附件及合同中提及的其他文件。</w:t>
      </w:r>
      <w:r>
        <w:rPr>
          <w:rFonts w:hint="eastAsia" w:hAnsi="宋体" w:cs="宋体"/>
          <w:bCs/>
          <w:color w:val="000000" w:themeColor="text1"/>
          <w:szCs w:val="21"/>
          <w:lang w:val="zh-CN"/>
          <w14:textFill>
            <w14:solidFill>
              <w14:schemeClr w14:val="tx1"/>
            </w14:solidFill>
          </w14:textFill>
        </w:rPr>
        <mc:AlternateContent>
          <mc:Choice Requires="wps">
            <w:drawing>
              <wp:anchor distT="0" distB="0" distL="114300" distR="114300" simplePos="0" relativeHeight="251663360" behindDoc="0" locked="0" layoutInCell="0" allowOverlap="1">
                <wp:simplePos x="0" y="0"/>
                <wp:positionH relativeFrom="column">
                  <wp:posOffset>-913765</wp:posOffset>
                </wp:positionH>
                <wp:positionV relativeFrom="paragraph">
                  <wp:posOffset>274955</wp:posOffset>
                </wp:positionV>
                <wp:extent cx="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0" cy="635"/>
                        </a:xfrm>
                        <a:prstGeom prst="line">
                          <a:avLst/>
                        </a:prstGeom>
                        <a:ln w="9525" cap="flat" cmpd="sng">
                          <a:solidFill>
                            <a:srgbClr val="000000"/>
                          </a:solidFill>
                          <a:prstDash val="solid"/>
                          <a:headEnd type="none" w="sm" len="sm"/>
                          <a:tailEnd type="none" w="sm" len="sm"/>
                        </a:ln>
                        <a:effectLst/>
                      </wps:spPr>
                      <wps:bodyPr upright="1"/>
                    </wps:wsp>
                  </a:graphicData>
                </a:graphic>
              </wp:anchor>
            </w:drawing>
          </mc:Choice>
          <mc:Fallback>
            <w:pict>
              <v:line id="_x0000_s1026" o:spid="_x0000_s1026" o:spt="20" style="position:absolute;left:0pt;margin-left:-71.95pt;margin-top:21.65pt;height:0.05pt;width:0pt;z-index:251663360;mso-width-relative:page;mso-height-relative:page;" filled="f" stroked="t" coordsize="21600,21600" o:allowincell="f" o:gfxdata="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f+VFXZAAAACwEAAA8AAAAAAAAAAQAgAAAAIgAAAGRycy9kb3ducmV2LnhtbFBL&#10;AQIUABQAAAAIAIdO4kBbmJjA9QEAAOoDAAAOAAAAAAAAAAEAIAAAACgBAABkcnMvZTJvRG9jLnht&#10;bFBLBQYAAAAABgAGAFkBAACPBQAAAAA=&#10;">
                <v:fill on="f" focussize="0,0"/>
                <v:stroke color="#000000" joinstyle="round" startarrowwidth="narrow" startarrowlength="short" endarrowwidth="narrow" endarrowlength="short"/>
                <v:imagedata o:title=""/>
                <o:lock v:ext="edit" aspectratio="f"/>
              </v:line>
            </w:pict>
          </mc:Fallback>
        </mc:AlternateContent>
      </w:r>
      <w:r>
        <w:rPr>
          <w:rFonts w:hint="eastAsia" w:hAnsi="宋体" w:cs="宋体"/>
          <w:bCs/>
          <w:color w:val="000000" w:themeColor="text1"/>
          <w:szCs w:val="21"/>
          <w:lang w:val="zh-CN"/>
          <w14:textFill>
            <w14:solidFill>
              <w14:schemeClr w14:val="tx1"/>
            </w14:solidFill>
          </w14:textFill>
        </w:rPr>
        <mc:AlternateContent>
          <mc:Choice Requires="wps">
            <w:drawing>
              <wp:anchor distT="0" distB="0" distL="114300" distR="114300" simplePos="0" relativeHeight="251662336" behindDoc="0" locked="0" layoutInCell="0" allowOverlap="1">
                <wp:simplePos x="0" y="0"/>
                <wp:positionH relativeFrom="column">
                  <wp:posOffset>-731520</wp:posOffset>
                </wp:positionH>
                <wp:positionV relativeFrom="paragraph">
                  <wp:posOffset>76835</wp:posOffset>
                </wp:positionV>
                <wp:extent cx="635" cy="1270"/>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635" cy="1270"/>
                        </a:xfrm>
                        <a:prstGeom prst="line">
                          <a:avLst/>
                        </a:prstGeom>
                        <a:ln w="12700" cap="flat" cmpd="sng">
                          <a:solidFill>
                            <a:srgbClr val="000000"/>
                          </a:solidFill>
                          <a:prstDash val="solid"/>
                          <a:headEnd type="none" w="sm" len="sm"/>
                          <a:tailEnd type="none" w="sm" len="sm"/>
                        </a:ln>
                        <a:effectLst/>
                      </wps:spPr>
                      <wps:bodyPr upright="1"/>
                    </wps:wsp>
                  </a:graphicData>
                </a:graphic>
              </wp:anchor>
            </w:drawing>
          </mc:Choice>
          <mc:Fallback>
            <w:pict>
              <v:line id="_x0000_s1026" o:spid="_x0000_s1026" o:spt="20" style="position:absolute;left:0pt;flip:y;margin-left:-57.6pt;margin-top:6.05pt;height:0.1pt;width:0.05pt;z-index:251662336;mso-width-relative:page;mso-height-relative:page;" filled="f" stroked="t" coordsize="21600,21600" o:allowincell="f" o:gfxdata="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KhkhjZAAAACwEAAA8AAAAAAAAAAQAgAAAAIgAAAGRycy9kb3du&#10;cmV2LnhtbFBLAQIUABQAAAAIAIdO4kDW3YID/gEAAPgDAAAOAAAAAAAAAAEAIAAAACgBAABkcnMv&#10;ZTJvRG9jLnhtbFBLBQYAAAAABgAGAFkBAACYBQAAAAA=&#10;">
                <v:fill on="f" focussize="0,0"/>
                <v:stroke weight="1pt" color="#000000" joinstyle="round" startarrowwidth="narrow" startarrowlength="short" endarrowwidth="narrow" endarrowlength="short"/>
                <v:imagedata o:title=""/>
                <o:lock v:ext="edit" aspectratio="f"/>
              </v:line>
            </w:pict>
          </mc:Fallback>
        </mc:AlternateContent>
      </w:r>
      <w:r>
        <w:rPr>
          <w:rFonts w:hint="eastAsia" w:hAnsi="宋体" w:cs="宋体"/>
          <w:bCs/>
          <w:color w:val="000000" w:themeColor="text1"/>
          <w:szCs w:val="21"/>
          <w:lang w:val="zh-CN"/>
          <w14:textFill>
            <w14:solidFill>
              <w14:schemeClr w14:val="tx1"/>
            </w14:solidFill>
          </w14:textFill>
        </w:rPr>
        <mc:AlternateContent>
          <mc:Choice Requires="wps">
            <w:drawing>
              <wp:anchor distT="0" distB="0" distL="114300" distR="114300" simplePos="0" relativeHeight="251664384" behindDoc="0" locked="0" layoutInCell="0" allowOverlap="1">
                <wp:simplePos x="0" y="0"/>
                <wp:positionH relativeFrom="column">
                  <wp:posOffset>1463040</wp:posOffset>
                </wp:positionH>
                <wp:positionV relativeFrom="paragraph">
                  <wp:posOffset>2804795</wp:posOffset>
                </wp:positionV>
                <wp:extent cx="63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sm" len="sm"/>
                          <a:tailEnd type="none" w="sm" len="sm"/>
                        </a:ln>
                        <a:effectLst/>
                      </wps:spPr>
                      <wps:bodyPr upright="1"/>
                    </wps:wsp>
                  </a:graphicData>
                </a:graphic>
              </wp:anchor>
            </w:drawing>
          </mc:Choice>
          <mc:Fallback>
            <w:pict>
              <v:line id="_x0000_s1026" o:spid="_x0000_s1026" o:spt="20" style="position:absolute;left:0pt;margin-left:115.2pt;margin-top:220.85pt;height:0.05pt;width:0.05pt;z-index:251664384;mso-width-relative:page;mso-height-relative:page;" filled="f" stroked="t" coordsize="21600,21600" o:allowincell="f" o:gfxdata="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94AO7ZAAAACwEAAA8AAAAAAAAAAQAgAAAAIgAAAGRycy9kb3ducmV2LnhtbFBL&#10;AQIUABQAAAAIAIdO4kASFpnt9QEAAOwDAAAOAAAAAAAAAAEAIAAAACgBAABkcnMvZTJvRG9jLnht&#10;bFBLBQYAAAAABgAGAFkBAACPBQAAAAA=&#10;">
                <v:fill on="f" focussize="0,0"/>
                <v:stroke color="#000000" joinstyle="round" startarrowwidth="narrow" startarrowlength="short" endarrowwidth="narrow" endarrowlength="short"/>
                <v:imagedata o:title=""/>
                <o:lock v:ext="edit" aspectratio="f"/>
              </v:line>
            </w:pict>
          </mc:Fallback>
        </mc:AlternateContent>
      </w:r>
    </w:p>
    <w:p w14:paraId="474B9923">
      <w:pPr>
        <w:pStyle w:val="26"/>
        <w:numPr>
          <w:ilvl w:val="0"/>
          <w:numId w:val="6"/>
        </w:numPr>
        <w:tabs>
          <w:tab w:val="left" w:pos="6383"/>
        </w:tabs>
        <w:snapToGrid w:val="0"/>
        <w:spacing w:before="231" w:after="231" w:line="380" w:lineRule="exact"/>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采购内容：详见采购需求。</w:t>
      </w:r>
    </w:p>
    <w:p w14:paraId="3C3F0506">
      <w:pPr>
        <w:pStyle w:val="26"/>
        <w:tabs>
          <w:tab w:val="left" w:pos="6383"/>
        </w:tabs>
        <w:snapToGrid w:val="0"/>
        <w:spacing w:before="231" w:after="231" w:line="380" w:lineRule="exact"/>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二、合同金额</w:t>
      </w:r>
    </w:p>
    <w:p w14:paraId="7DD34985">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本合同总金额为人民币（大写）：</w:t>
      </w:r>
      <w:r>
        <w:rPr>
          <w:rFonts w:hint="eastAsia" w:hAnsi="宋体" w:cs="宋体"/>
          <w:color w:val="000000" w:themeColor="text1"/>
          <w:sz w:val="21"/>
          <w:szCs w:val="21"/>
          <w:u w:val="single"/>
          <w14:textFill>
            <w14:solidFill>
              <w14:schemeClr w14:val="tx1"/>
            </w14:solidFill>
          </w14:textFill>
        </w:rPr>
        <w:t xml:space="preserve">    </w:t>
      </w:r>
      <w:r>
        <w:rPr>
          <w:rFonts w:hint="eastAsia" w:hAnsi="宋体" w:cs="宋体"/>
          <w:color w:val="000000" w:themeColor="text1"/>
          <w:sz w:val="21"/>
          <w:szCs w:val="21"/>
          <w:u w:val="single"/>
          <w:lang w:val="en-US" w:eastAsia="zh-CN"/>
          <w14:textFill>
            <w14:solidFill>
              <w14:schemeClr w14:val="tx1"/>
            </w14:solidFill>
          </w14:textFill>
        </w:rPr>
        <w:t xml:space="preserve">    </w:t>
      </w:r>
      <w:r>
        <w:rPr>
          <w:rFonts w:hint="eastAsia" w:hAnsi="宋体" w:cs="宋体"/>
          <w:color w:val="000000" w:themeColor="text1"/>
          <w:sz w:val="21"/>
          <w:szCs w:val="21"/>
          <w:u w:val="single"/>
          <w14:textFill>
            <w14:solidFill>
              <w14:schemeClr w14:val="tx1"/>
            </w14:solidFill>
          </w14:textFill>
        </w:rPr>
        <w:t xml:space="preserve">    </w:t>
      </w:r>
      <w:r>
        <w:rPr>
          <w:rFonts w:hint="eastAsia" w:hAnsi="宋体" w:cs="宋体"/>
          <w:color w:val="000000" w:themeColor="text1"/>
          <w:sz w:val="21"/>
          <w:szCs w:val="21"/>
          <w14:textFill>
            <w14:solidFill>
              <w14:schemeClr w14:val="tx1"/>
            </w14:solidFill>
          </w14:textFill>
        </w:rPr>
        <w:t>（￥</w:t>
      </w:r>
      <w:r>
        <w:rPr>
          <w:rFonts w:hint="eastAsia" w:hAnsi="宋体" w:cs="宋体"/>
          <w:color w:val="000000" w:themeColor="text1"/>
          <w:sz w:val="21"/>
          <w:szCs w:val="21"/>
          <w:u w:val="single"/>
          <w14:textFill>
            <w14:solidFill>
              <w14:schemeClr w14:val="tx1"/>
            </w14:solidFill>
          </w14:textFill>
        </w:rPr>
        <w:t xml:space="preserve">        元</w:t>
      </w:r>
      <w:r>
        <w:rPr>
          <w:rFonts w:hint="eastAsia" w:hAnsi="宋体" w:cs="宋体"/>
          <w:color w:val="000000" w:themeColor="text1"/>
          <w:sz w:val="21"/>
          <w:szCs w:val="21"/>
          <w14:textFill>
            <w14:solidFill>
              <w14:schemeClr w14:val="tx1"/>
            </w14:solidFill>
          </w14:textFill>
        </w:rPr>
        <w:t>）。</w:t>
      </w:r>
    </w:p>
    <w:p w14:paraId="293FB383">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本次招标计价方式采用“固定</w:t>
      </w:r>
      <w:r>
        <w:rPr>
          <w:rFonts w:hint="eastAsia" w:hAnsi="宋体" w:cs="宋体"/>
          <w:bCs/>
          <w:color w:val="000000" w:themeColor="text1"/>
          <w:sz w:val="21"/>
          <w:szCs w:val="21"/>
          <w:lang w:val="en-US" w:eastAsia="zh-CN"/>
          <w14:textFill>
            <w14:solidFill>
              <w14:schemeClr w14:val="tx1"/>
            </w14:solidFill>
          </w14:textFill>
        </w:rPr>
        <w:t>总</w:t>
      </w:r>
      <w:r>
        <w:rPr>
          <w:rFonts w:hint="eastAsia" w:hAnsi="宋体" w:cs="宋体"/>
          <w:bCs/>
          <w:color w:val="000000" w:themeColor="text1"/>
          <w:sz w:val="21"/>
          <w:szCs w:val="21"/>
          <w14:textFill>
            <w14:solidFill>
              <w14:schemeClr w14:val="tx1"/>
            </w14:solidFill>
          </w14:textFill>
        </w:rPr>
        <w:t>价”报价，投标报价应</w:t>
      </w:r>
      <w:r>
        <w:rPr>
          <w:rFonts w:hint="eastAsia" w:ascii="宋体" w:hAnsi="宋体" w:eastAsia="宋体" w:cs="宋体"/>
          <w:bCs/>
          <w:color w:val="000000" w:themeColor="text1"/>
          <w:sz w:val="21"/>
          <w:szCs w:val="21"/>
          <w14:textFill>
            <w14:solidFill>
              <w14:schemeClr w14:val="tx1"/>
            </w14:solidFill>
          </w14:textFill>
        </w:rPr>
        <w:t>包括完成本项目实施期间所必须的全部货物和服务的价格、标准附件、备品备件、专用工具、软件（含设计、开发等）及模块、安全生产费及相关费用、人员工资、加班费、工作人员差旅费、各项福利、劳动保险、餐费、员工补助、工作人员必要的住宿费、办公费、采购及安装、材料二次搬运、调试、平台系统的集成对接、检测费（含现场抽检费用及抽检不合格的更换至合格为止的所有费用）、保修、保险、试运行直至验收合格、培训、售后服务以及投标人为完成本招标项目所必须的费用、企业管理费、利润、税收（含关税）、风险费、垃圾清运、环境保护、特殊条件施工增加费用、现场施工围栏、成品保护、开办费、辅助材料费、工程完工后临时设施的拆除与清理及现场恢复费用、运营期间与社区、街道、城管、物管、供电（接电等本项目涉及的内容）、供水、电信等相关部门的协调工作所涉及的相关的全部费用、本招标文件规定的为完成项目验收所需的企业检验试验费用、资金成本、不可预见费（应充分考虑所有风险、责任等）及政策性文件规定等为完成本项目交付采购人使用所需的全部费用的价格体现。</w:t>
      </w:r>
    </w:p>
    <w:p w14:paraId="37FB3904">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除非招标人对招标文件予以修改，投标人应按招标人提供的招标需求中列出的项目填报单价和合价。每一项目只允许有一个报价。任何有选择的报价将不予接受。投标人未填报服务项目清单中列出的服务项目的单价或合价的项目，在项目实施后，招标人将不予支付，并视为该项费用已包括在其它有价款的单价或合价内。</w:t>
      </w:r>
    </w:p>
    <w:p w14:paraId="3A7B73A8">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投标人应先到项目现场踏勘以充分了解项目实施地点位置、情况、道路、储存空间、装卸限制以及任何其他足以影响承包价的情况，任何因忽视或误解工地情况而导致的索赔或工期延长申请将不被批准。</w:t>
      </w:r>
    </w:p>
    <w:p w14:paraId="50405BF5">
      <w:pPr>
        <w:pStyle w:val="26"/>
        <w:snapToGrid w:val="0"/>
        <w:spacing w:before="231" w:after="231" w:line="380" w:lineRule="exact"/>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三、技术资料</w:t>
      </w:r>
    </w:p>
    <w:p w14:paraId="61E0B3D3">
      <w:pPr>
        <w:pStyle w:val="26"/>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1、乙方应按招标文件规定的时间向甲方提供使用服务的有关技术资料。</w:t>
      </w:r>
    </w:p>
    <w:p w14:paraId="26336457">
      <w:pPr>
        <w:pStyle w:val="26"/>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没有甲方事先书面同意，乙方不得将由甲方提供的有关合同或任何合同条文、规格、计划、样品或资料提供给与履行本合同无关的任何其他人。即使向履行本合同有关的人员提供，也应注意保密并限于履行合同的必需范围。</w:t>
      </w:r>
    </w:p>
    <w:p w14:paraId="5BE37C2F">
      <w:pPr>
        <w:pStyle w:val="26"/>
        <w:snapToGrid w:val="0"/>
        <w:spacing w:before="231" w:after="231" w:line="380" w:lineRule="exact"/>
        <w:ind w:left="360" w:hanging="361" w:hangingChars="171"/>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四、知识产权</w:t>
      </w:r>
    </w:p>
    <w:p w14:paraId="16C4F1D7">
      <w:pPr>
        <w:pStyle w:val="26"/>
        <w:snapToGrid w:val="0"/>
        <w:spacing w:before="231" w:after="231" w:line="380" w:lineRule="exact"/>
        <w:ind w:firstLine="420" w:firstLineChars="200"/>
        <w:rPr>
          <w:rFonts w:hAnsi="宋体" w:cs="宋体"/>
          <w:bCs/>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乙方应保证所提供的服务或其任何一部分均不会侵犯任何第三方的知识产权</w:t>
      </w:r>
      <w:r>
        <w:rPr>
          <w:rFonts w:hint="eastAsia" w:hAnsi="宋体" w:cs="宋体"/>
          <w:color w:val="000000" w:themeColor="text1"/>
          <w:sz w:val="21"/>
          <w:szCs w:val="21"/>
          <w:lang w:val="en-US" w:eastAsia="zh-CN"/>
          <w14:textFill>
            <w14:solidFill>
              <w14:schemeClr w14:val="tx1"/>
            </w14:solidFill>
          </w14:textFill>
        </w:rPr>
        <w:t>且归属于甲方所有</w:t>
      </w:r>
      <w:r>
        <w:rPr>
          <w:rFonts w:hint="eastAsia" w:hAnsi="宋体" w:cs="宋体"/>
          <w:bCs/>
          <w:color w:val="000000" w:themeColor="text1"/>
          <w:sz w:val="21"/>
          <w:szCs w:val="21"/>
          <w14:textFill>
            <w14:solidFill>
              <w14:schemeClr w14:val="tx1"/>
            </w14:solidFill>
          </w14:textFill>
        </w:rPr>
        <w:t>。</w:t>
      </w:r>
    </w:p>
    <w:p w14:paraId="0CB6AB6F">
      <w:pPr>
        <w:pStyle w:val="26"/>
        <w:snapToGrid w:val="0"/>
        <w:spacing w:before="231" w:after="231" w:line="380" w:lineRule="exact"/>
        <w:rPr>
          <w:rFonts w:hAnsi="宋体" w:cs="宋体"/>
          <w:color w:val="000000" w:themeColor="text1"/>
          <w:sz w:val="21"/>
          <w:szCs w:val="21"/>
          <w:u w:val="single"/>
          <w14:textFill>
            <w14:solidFill>
              <w14:schemeClr w14:val="tx1"/>
            </w14:solidFill>
          </w14:textFill>
        </w:rPr>
      </w:pPr>
      <w:r>
        <w:rPr>
          <w:rFonts w:hint="eastAsia" w:hAnsi="宋体" w:cs="宋体"/>
          <w:b/>
          <w:color w:val="000000" w:themeColor="text1"/>
          <w:sz w:val="21"/>
          <w:szCs w:val="21"/>
          <w14:textFill>
            <w14:solidFill>
              <w14:schemeClr w14:val="tx1"/>
            </w14:solidFill>
          </w14:textFill>
        </w:rPr>
        <w:t>五、产权担保</w:t>
      </w:r>
    </w:p>
    <w:p w14:paraId="4FD61C03">
      <w:pPr>
        <w:pStyle w:val="26"/>
        <w:snapToGrid w:val="0"/>
        <w:spacing w:before="231" w:after="231" w:line="380" w:lineRule="exact"/>
        <w:ind w:firstLine="420" w:firstLineChars="200"/>
        <w:rPr>
          <w:rFonts w:hAnsi="宋体" w:cs="宋体"/>
          <w:color w:val="000000" w:themeColor="text1"/>
          <w:sz w:val="21"/>
          <w:szCs w:val="21"/>
          <w:u w:val="single"/>
          <w14:textFill>
            <w14:solidFill>
              <w14:schemeClr w14:val="tx1"/>
            </w14:solidFill>
          </w14:textFill>
        </w:rPr>
      </w:pPr>
      <w:r>
        <w:rPr>
          <w:rFonts w:hint="eastAsia" w:hAnsi="宋体" w:cs="宋体"/>
          <w:color w:val="000000" w:themeColor="text1"/>
          <w:sz w:val="21"/>
          <w:szCs w:val="21"/>
          <w14:textFill>
            <w14:solidFill>
              <w14:schemeClr w14:val="tx1"/>
            </w14:solidFill>
          </w14:textFill>
        </w:rPr>
        <w:t>乙方保证所交付的服务的所有权完全属于乙方且无任何抵押、查封等产权瑕疵。</w:t>
      </w:r>
    </w:p>
    <w:p w14:paraId="76D31ED9">
      <w:pPr>
        <w:pStyle w:val="26"/>
        <w:snapToGrid w:val="0"/>
        <w:spacing w:before="231" w:after="231" w:line="380" w:lineRule="exact"/>
        <w:ind w:left="358" w:hanging="358" w:hangingChars="170"/>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六、履约保证金</w:t>
      </w:r>
    </w:p>
    <w:p w14:paraId="32D0A243">
      <w:pPr>
        <w:pStyle w:val="26"/>
        <w:snapToGrid w:val="0"/>
        <w:spacing w:before="231" w:after="231" w:line="380" w:lineRule="exact"/>
        <w:ind w:firstLine="420" w:firstLineChars="200"/>
        <w:rPr>
          <w:rFonts w:hint="eastAsia"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1、履约保证金的形式：转账、履约担保或者投标人基本账户开户行出具的保函、保险公司保险单。</w:t>
      </w:r>
    </w:p>
    <w:p w14:paraId="0F134CFC">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2、履约保证金的金额：中标价的10%。</w:t>
      </w:r>
      <w:r>
        <w:rPr>
          <w:rFonts w:hint="eastAsia"/>
          <w:color w:val="000000" w:themeColor="text1"/>
          <w:highlight w:val="none"/>
          <w14:textFill>
            <w14:solidFill>
              <w14:schemeClr w14:val="tx1"/>
            </w14:solidFill>
          </w14:textFill>
        </w:rPr>
        <w:t>合同签订前缴纳至甲方指定账户。待合同履行期限完成后无任何质量问题一次性无息退还。</w:t>
      </w:r>
    </w:p>
    <w:p w14:paraId="5B003EDD">
      <w:pPr>
        <w:pStyle w:val="26"/>
        <w:snapToGrid w:val="0"/>
        <w:spacing w:before="231" w:after="231" w:line="380" w:lineRule="exact"/>
        <w:ind w:left="358" w:hanging="358" w:hangingChars="170"/>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七、转包或分包</w:t>
      </w:r>
    </w:p>
    <w:p w14:paraId="6CF50569">
      <w:pPr>
        <w:pStyle w:val="26"/>
        <w:snapToGrid w:val="0"/>
        <w:spacing w:before="231" w:after="231" w:line="380" w:lineRule="exact"/>
        <w:ind w:firstLine="420" w:firstLineChars="200"/>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1、本合同范围的服务，应由乙方直接供应，不得转让他人供应；</w:t>
      </w:r>
    </w:p>
    <w:p w14:paraId="255908D8">
      <w:pPr>
        <w:pStyle w:val="26"/>
        <w:snapToGrid w:val="0"/>
        <w:spacing w:before="231" w:after="231" w:line="380" w:lineRule="exact"/>
        <w:ind w:firstLine="420" w:firstLineChars="200"/>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2、除非得到甲方的书面同意，乙方不得将本合同范围的服务全部或部分分包给他人供应；</w:t>
      </w:r>
    </w:p>
    <w:p w14:paraId="76470BBD">
      <w:pPr>
        <w:pStyle w:val="26"/>
        <w:snapToGrid w:val="0"/>
        <w:spacing w:before="231" w:after="231" w:line="380" w:lineRule="exact"/>
        <w:ind w:firstLine="420" w:firstLineChars="200"/>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3、如有转让和未经甲方同意的分包行为，甲方有权解除合同，没收履约保证金并追究乙方的违约责任。</w:t>
      </w:r>
    </w:p>
    <w:p w14:paraId="5C353880">
      <w:pPr>
        <w:pStyle w:val="26"/>
        <w:snapToGrid w:val="0"/>
        <w:spacing w:before="231" w:after="231" w:line="380" w:lineRule="exact"/>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八、合同履行期限、供货地点、质保期</w:t>
      </w:r>
    </w:p>
    <w:p w14:paraId="5739263D">
      <w:pPr>
        <w:pStyle w:val="17"/>
        <w:ind w:firstLine="420" w:firstLineChars="200"/>
        <w:rPr>
          <w:rFonts w:hint="eastAsia" w:hAnsi="宋体" w:cs="宋体"/>
          <w:bCs/>
          <w:color w:val="000000" w:themeColor="text1"/>
          <w:szCs w:val="21"/>
          <w14:textFill>
            <w14:solidFill>
              <w14:schemeClr w14:val="tx1"/>
            </w14:solidFill>
          </w14:textFill>
        </w:rPr>
      </w:pPr>
      <w:r>
        <w:rPr>
          <w:rFonts w:hint="eastAsia" w:hAnsi="宋体" w:cs="宋体"/>
          <w:bCs/>
          <w:color w:val="000000" w:themeColor="text1"/>
          <w:szCs w:val="21"/>
          <w14:textFill>
            <w14:solidFill>
              <w14:schemeClr w14:val="tx1"/>
            </w14:solidFill>
          </w14:textFill>
        </w:rPr>
        <w:t>1、</w:t>
      </w:r>
      <w:r>
        <w:rPr>
          <w:rFonts w:hint="eastAsia"/>
          <w:color w:val="000000" w:themeColor="text1"/>
          <w14:textFill>
            <w14:solidFill>
              <w14:schemeClr w14:val="tx1"/>
            </w14:solidFill>
          </w14:textFill>
        </w:rPr>
        <w:t>自合同签订之日起算</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日历天内完成</w:t>
      </w:r>
      <w:r>
        <w:rPr>
          <w:rFonts w:hint="eastAsia" w:ascii="Times New Roman" w:hAnsi="Times New Roman" w:eastAsia="宋体" w:cs="Times New Roman"/>
          <w:color w:val="000000" w:themeColor="text1"/>
          <w14:textFill>
            <w14:solidFill>
              <w14:schemeClr w14:val="tx1"/>
            </w14:solidFill>
          </w14:textFill>
        </w:rPr>
        <w:t>软件安装、调试</w:t>
      </w:r>
      <w:r>
        <w:rPr>
          <w:rFonts w:hint="eastAsia" w:ascii="Times New Roman" w:hAnsi="Times New Roman" w:eastAsia="宋体" w:cs="Times New Roman"/>
          <w:color w:val="000000" w:themeColor="text1"/>
          <w:lang w:val="en-US" w:eastAsia="zh-CN"/>
          <w14:textFill>
            <w14:solidFill>
              <w14:schemeClr w14:val="tx1"/>
            </w14:solidFill>
          </w14:textFill>
        </w:rPr>
        <w:t>并运行</w:t>
      </w: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经验收合格交付甲方使用。</w:t>
      </w:r>
    </w:p>
    <w:p w14:paraId="19AA4CAE">
      <w:pPr>
        <w:pStyle w:val="26"/>
        <w:tabs>
          <w:tab w:val="left" w:pos="7815"/>
        </w:tabs>
        <w:snapToGrid w:val="0"/>
        <w:spacing w:before="231" w:after="231" w:line="380" w:lineRule="exact"/>
        <w:ind w:firstLine="420" w:firstLineChars="200"/>
        <w:rPr>
          <w:rFonts w:hint="eastAsia"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2、供货地点：由甲方指定地点为准。</w:t>
      </w:r>
      <w:r>
        <w:rPr>
          <w:rFonts w:hint="eastAsia" w:hAnsi="宋体" w:cs="宋体"/>
          <w:bCs/>
          <w:color w:val="000000" w:themeColor="text1"/>
          <w:sz w:val="21"/>
          <w:szCs w:val="21"/>
          <w:highlight w:val="none"/>
          <w14:textFill>
            <w14:solidFill>
              <w14:schemeClr w14:val="tx1"/>
            </w14:solidFill>
          </w14:textFill>
        </w:rPr>
        <w:tab/>
      </w:r>
    </w:p>
    <w:p w14:paraId="4FC977D6">
      <w:pPr>
        <w:pStyle w:val="17"/>
        <w:ind w:firstLine="420" w:firstLineChars="200"/>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3、质保期：</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安装、调试完成，系统试运行结束并</w:t>
      </w:r>
      <w:r>
        <w:rPr>
          <w:rFonts w:hint="eastAsia" w:hAnsi="宋体" w:cs="Times New Roman"/>
          <w:color w:val="000000" w:themeColor="text1"/>
          <w:kern w:val="2"/>
          <w:sz w:val="21"/>
          <w:szCs w:val="21"/>
          <w:highlight w:val="none"/>
          <w:lang w:val="en-US" w:eastAsia="zh-CN" w:bidi="ar-SA"/>
          <w14:textFill>
            <w14:solidFill>
              <w14:schemeClr w14:val="tx1"/>
            </w14:solidFill>
          </w14:textFill>
        </w:rPr>
        <w:t>交付使用</w:t>
      </w:r>
      <w:r>
        <w:rPr>
          <w:rFonts w:hint="eastAsia" w:ascii="宋体" w:hAnsi="宋体"/>
          <w:color w:val="000000" w:themeColor="text1"/>
          <w:szCs w:val="21"/>
          <w:highlight w:val="none"/>
          <w14:textFill>
            <w14:solidFill>
              <w14:schemeClr w14:val="tx1"/>
            </w14:solidFill>
          </w14:textFill>
        </w:rPr>
        <w:t>之日起计</w:t>
      </w:r>
      <w:r>
        <w:rPr>
          <w:rFonts w:hint="eastAsia"/>
          <w:color w:val="000000" w:themeColor="text1"/>
          <w:highlight w:val="none"/>
          <w14:textFill>
            <w14:solidFill>
              <w14:schemeClr w14:val="tx1"/>
            </w14:solidFill>
          </w14:textFill>
        </w:rPr>
        <w:t>算</w:t>
      </w:r>
      <w:r>
        <w:rPr>
          <w:rFonts w:hint="eastAsia" w:hAnsi="宋体" w:cs="宋体"/>
          <w:bCs/>
          <w:color w:val="000000" w:themeColor="text1"/>
          <w:szCs w:val="21"/>
          <w:highlight w:val="none"/>
          <w:u w:val="single"/>
          <w14:textFill>
            <w14:solidFill>
              <w14:schemeClr w14:val="tx1"/>
            </w14:solidFill>
          </w14:textFill>
        </w:rPr>
        <w:t xml:space="preserve"> </w:t>
      </w:r>
      <w:r>
        <w:rPr>
          <w:rFonts w:hint="eastAsia" w:hAnsi="宋体" w:cs="宋体"/>
          <w:bCs/>
          <w:color w:val="000000" w:themeColor="text1"/>
          <w:szCs w:val="21"/>
          <w:highlight w:val="none"/>
          <w:u w:val="single"/>
          <w:lang w:val="en-US" w:eastAsia="zh-CN"/>
          <w14:textFill>
            <w14:solidFill>
              <w14:schemeClr w14:val="tx1"/>
            </w14:solidFill>
          </w14:textFill>
        </w:rPr>
        <w:t>二</w:t>
      </w:r>
      <w:r>
        <w:rPr>
          <w:rFonts w:hint="eastAsia" w:hAnsi="宋体" w:cs="宋体"/>
          <w:bCs/>
          <w:color w:val="000000" w:themeColor="text1"/>
          <w:szCs w:val="21"/>
          <w:highlight w:val="none"/>
          <w:u w:val="single"/>
          <w14:textFill>
            <w14:solidFill>
              <w14:schemeClr w14:val="tx1"/>
            </w14:solidFill>
          </w14:textFill>
        </w:rPr>
        <w:t xml:space="preserve"> </w:t>
      </w:r>
      <w:r>
        <w:rPr>
          <w:rFonts w:hint="eastAsia" w:hAnsi="宋体" w:cs="宋体"/>
          <w:bCs/>
          <w:color w:val="000000" w:themeColor="text1"/>
          <w:szCs w:val="21"/>
          <w:highlight w:val="none"/>
          <w14:textFill>
            <w14:solidFill>
              <w14:schemeClr w14:val="tx1"/>
            </w14:solidFill>
          </w14:textFill>
        </w:rPr>
        <w:t>年。</w:t>
      </w:r>
    </w:p>
    <w:p w14:paraId="14AA4852">
      <w:pPr>
        <w:pStyle w:val="17"/>
        <w:ind w:firstLine="420" w:firstLineChars="200"/>
        <w:rPr>
          <w:rFonts w:hint="eastAsia" w:hAnsi="宋体" w:cs="宋体"/>
          <w:bCs/>
          <w:color w:val="000000" w:themeColor="text1"/>
          <w:szCs w:val="21"/>
          <w:highlight w:val="none"/>
          <w14:textFill>
            <w14:solidFill>
              <w14:schemeClr w14:val="tx1"/>
            </w14:solidFill>
          </w14:textFill>
        </w:rPr>
      </w:pPr>
    </w:p>
    <w:p w14:paraId="44D2ACD3">
      <w:pPr>
        <w:pStyle w:val="17"/>
        <w:spacing w:line="360" w:lineRule="auto"/>
        <w:ind w:firstLine="420" w:firstLineChars="200"/>
        <w:rPr>
          <w:rFonts w:hint="default" w:hAnsi="宋体" w:eastAsia="宋体" w:cs="宋体"/>
          <w:bCs/>
          <w:color w:val="000000" w:themeColor="text1"/>
          <w:szCs w:val="21"/>
          <w:highlight w:val="none"/>
          <w:lang w:val="en-US" w:eastAsia="zh-CN"/>
          <w14:textFill>
            <w14:solidFill>
              <w14:schemeClr w14:val="tx1"/>
            </w14:solidFill>
          </w14:textFill>
        </w:rPr>
      </w:pPr>
      <w:r>
        <w:rPr>
          <w:rFonts w:hint="eastAsia" w:hAnsi="宋体" w:cs="宋体"/>
          <w:bCs/>
          <w:color w:val="000000" w:themeColor="text1"/>
          <w:szCs w:val="21"/>
          <w:highlight w:val="none"/>
          <w:lang w:val="en-US" w:eastAsia="zh-CN"/>
          <w14:textFill>
            <w14:solidFill>
              <w14:schemeClr w14:val="tx1"/>
            </w14:solidFill>
          </w14:textFill>
        </w:rPr>
        <w:t>4、运维期：</w:t>
      </w:r>
      <w:r>
        <w:rPr>
          <w:rFonts w:hint="eastAsia"/>
          <w:color w:val="000000" w:themeColor="text1"/>
          <w:szCs w:val="21"/>
          <w:highlight w:val="none"/>
          <w14:textFill>
            <w14:solidFill>
              <w14:schemeClr w14:val="tx1"/>
            </w14:solidFill>
          </w14:textFill>
        </w:rPr>
        <w:t>运维</w:t>
      </w:r>
      <w:r>
        <w:rPr>
          <w:rFonts w:hint="eastAsia"/>
          <w:color w:val="000000" w:themeColor="text1"/>
          <w:szCs w:val="21"/>
          <w:highlight w:val="none"/>
          <w:lang w:val="en-US" w:eastAsia="zh-CN"/>
          <w14:textFill>
            <w14:solidFill>
              <w14:schemeClr w14:val="tx1"/>
            </w14:solidFill>
          </w14:textFill>
        </w:rPr>
        <w:t>服务期限</w:t>
      </w:r>
      <w:r>
        <w:rPr>
          <w:rFonts w:hint="eastAsia"/>
          <w:color w:val="000000" w:themeColor="text1"/>
          <w:szCs w:val="21"/>
          <w:highlight w:val="none"/>
          <w:u w:val="single"/>
          <w:lang w:val="en-US" w:eastAsia="zh-CN"/>
          <w14:textFill>
            <w14:solidFill>
              <w14:schemeClr w14:val="tx1"/>
            </w14:solidFill>
          </w14:textFill>
        </w:rPr>
        <w:t xml:space="preserve">   年</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安装、调试完成，系统试运行结束并</w:t>
      </w:r>
      <w:r>
        <w:rPr>
          <w:rFonts w:hint="eastAsia" w:ascii="宋体" w:hAnsi="宋体" w:cs="Times New Roman"/>
          <w:color w:val="000000" w:themeColor="text1"/>
          <w:kern w:val="2"/>
          <w:sz w:val="21"/>
          <w:szCs w:val="21"/>
          <w:highlight w:val="none"/>
          <w:lang w:val="en-US" w:eastAsia="zh-CN" w:bidi="ar-SA"/>
          <w14:textFill>
            <w14:solidFill>
              <w14:schemeClr w14:val="tx1"/>
            </w14:solidFill>
          </w14:textFill>
        </w:rPr>
        <w:t>交付使用</w:t>
      </w:r>
      <w:r>
        <w:rPr>
          <w:rFonts w:hint="eastAsia" w:ascii="宋体" w:hAnsi="宋体"/>
          <w:color w:val="000000" w:themeColor="text1"/>
          <w:szCs w:val="21"/>
          <w:highlight w:val="none"/>
          <w14:textFill>
            <w14:solidFill>
              <w14:schemeClr w14:val="tx1"/>
            </w14:solidFill>
          </w14:textFill>
        </w:rPr>
        <w:t>之日起计算</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运维服务包括日常的系统维护、故障处理、应急响应等</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以确保系统的正常运行</w:t>
      </w:r>
      <w:r>
        <w:rPr>
          <w:rFonts w:hint="eastAsia" w:ascii="宋体" w:hAnsi="宋体"/>
          <w:color w:val="000000" w:themeColor="text1"/>
          <w:szCs w:val="21"/>
          <w:highlight w:val="none"/>
          <w:lang w:eastAsia="zh-CN"/>
          <w14:textFill>
            <w14:solidFill>
              <w14:schemeClr w14:val="tx1"/>
            </w14:solidFill>
          </w14:textFill>
        </w:rPr>
        <w:t>。</w:t>
      </w:r>
    </w:p>
    <w:p w14:paraId="71A4A7CC">
      <w:pPr>
        <w:pStyle w:val="26"/>
        <w:snapToGrid w:val="0"/>
        <w:spacing w:before="231" w:after="231" w:line="380" w:lineRule="exact"/>
        <w:rPr>
          <w:rFonts w:hint="eastAsia"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九、</w:t>
      </w:r>
      <w:r>
        <w:rPr>
          <w:rFonts w:hint="eastAsia" w:ascii="宋体" w:hAnsi="宋体" w:eastAsia="宋体" w:cs="宋体"/>
          <w:b/>
          <w:bCs w:val="0"/>
          <w:color w:val="000000" w:themeColor="text1"/>
          <w:sz w:val="21"/>
          <w:szCs w:val="21"/>
          <w14:textFill>
            <w14:solidFill>
              <w14:schemeClr w14:val="tx1"/>
            </w14:solidFill>
          </w14:textFill>
        </w:rPr>
        <w:t>货款</w:t>
      </w:r>
      <w:r>
        <w:rPr>
          <w:rFonts w:hint="eastAsia" w:hAnsi="宋体" w:cs="宋体"/>
          <w:b/>
          <w:color w:val="000000" w:themeColor="text1"/>
          <w:sz w:val="21"/>
          <w:szCs w:val="21"/>
          <w14:textFill>
            <w14:solidFill>
              <w14:schemeClr w14:val="tx1"/>
            </w14:solidFill>
          </w14:textFill>
        </w:rPr>
        <w:t>支付：</w:t>
      </w:r>
    </w:p>
    <w:p w14:paraId="3AE21357">
      <w:pPr>
        <w:pStyle w:val="4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预付款支付时间：合同签订后，采购人收到增值税专用发票后支付，预付款支付比例为合同金额的10%。</w:t>
      </w:r>
    </w:p>
    <w:p w14:paraId="4DC9A1C5">
      <w:pPr>
        <w:pStyle w:val="26"/>
        <w:keepNext w:val="0"/>
        <w:keepLines w:val="0"/>
        <w:pageBreakBefore w:val="0"/>
        <w:widowControl w:val="0"/>
        <w:numPr>
          <w:ilvl w:val="0"/>
          <w:numId w:val="0"/>
        </w:numPr>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kern w:val="2"/>
          <w:sz w:val="21"/>
          <w:szCs w:val="21"/>
          <w:highlight w:val="yellow"/>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第二次支付时间：合同签订后，安装、调试完成，系统试运行结束并交付使用后,采购人收到增值税专用发票后支付至</w:t>
      </w:r>
      <w:r>
        <w:rPr>
          <w:rFonts w:hint="eastAsia" w:hAnsi="宋体" w:cs="宋体"/>
          <w:color w:val="000000" w:themeColor="text1"/>
          <w:kern w:val="2"/>
          <w:sz w:val="21"/>
          <w:szCs w:val="21"/>
          <w:highlight w:val="none"/>
          <w:lang w:val="en-US" w:eastAsia="zh-CN" w:bidi="ar-SA"/>
          <w14:textFill>
            <w14:solidFill>
              <w14:schemeClr w14:val="tx1"/>
            </w14:solidFill>
          </w14:textFill>
        </w:rPr>
        <w:t>合同</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金额的60%。</w:t>
      </w:r>
    </w:p>
    <w:p w14:paraId="4CA0A486">
      <w:pPr>
        <w:pStyle w:val="26"/>
        <w:keepNext w:val="0"/>
        <w:keepLines w:val="0"/>
        <w:pageBreakBefore w:val="0"/>
        <w:widowControl w:val="0"/>
        <w:numPr>
          <w:ilvl w:val="0"/>
          <w:numId w:val="0"/>
        </w:numPr>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第三次支付时间：交付使用满一年且正常运行，采购人收到增值税专用发票后支付至合同金额的90%。</w:t>
      </w:r>
    </w:p>
    <w:p w14:paraId="7919A975">
      <w:pPr>
        <w:pStyle w:val="26"/>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第四次支付时间：运维期满后且正常运行，采购人收到增值税专用发票后付清余款。</w:t>
      </w:r>
    </w:p>
    <w:p w14:paraId="1CB3C034">
      <w:pPr>
        <w:keepNext w:val="0"/>
        <w:keepLines w:val="0"/>
        <w:pageBreakBefore w:val="0"/>
        <w:widowControl w:val="0"/>
        <w:kinsoku/>
        <w:wordWrap w:val="0"/>
        <w:overflowPunct/>
        <w:topLinePunct w:val="0"/>
        <w:autoSpaceDE/>
        <w:autoSpaceDN/>
        <w:bidi w:val="0"/>
        <w:adjustRightInd/>
        <w:spacing w:line="360" w:lineRule="auto"/>
        <w:textAlignment w:val="auto"/>
        <w:rPr>
          <w:rFonts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甲方保留适度调整采购需求的权利，乙方应根据实际需求供货。</w:t>
      </w:r>
    </w:p>
    <w:p w14:paraId="4D11165B">
      <w:pPr>
        <w:keepNext w:val="0"/>
        <w:keepLines w:val="0"/>
        <w:pageBreakBefore w:val="0"/>
        <w:widowControl w:val="0"/>
        <w:kinsoku/>
        <w:wordWrap w:val="0"/>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甲方保留适度调整采购需求的权利，乙方应根据实际需求供货。合同款一律通过银行非现金结算，结算方式：转账。</w:t>
      </w:r>
    </w:p>
    <w:p w14:paraId="2B468D37">
      <w:pPr>
        <w:pStyle w:val="26"/>
        <w:snapToGrid w:val="0"/>
        <w:spacing w:before="231" w:after="231" w:line="380" w:lineRule="exact"/>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十、税费</w:t>
      </w:r>
    </w:p>
    <w:p w14:paraId="557BD416">
      <w:pPr>
        <w:snapToGrid w:val="0"/>
        <w:spacing w:before="156" w:beforeLines="50" w:after="156" w:afterLines="50"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本合同执行中相关的一切税费均由乙方负担。</w:t>
      </w:r>
    </w:p>
    <w:p w14:paraId="18B816BE">
      <w:pPr>
        <w:pStyle w:val="26"/>
        <w:snapToGrid w:val="0"/>
        <w:spacing w:before="231" w:after="231" w:line="380" w:lineRule="exact"/>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十一、验收</w:t>
      </w:r>
    </w:p>
    <w:p w14:paraId="7171BD72">
      <w:pPr>
        <w:pStyle w:val="26"/>
        <w:snapToGrid w:val="0"/>
        <w:spacing w:before="231" w:after="231"/>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验收时乙方必须在现场，验收完毕后作出验收结果报告；验收费用由乙方负责。</w:t>
      </w:r>
    </w:p>
    <w:p w14:paraId="6E1722AA">
      <w:pPr>
        <w:pStyle w:val="26"/>
        <w:snapToGrid w:val="0"/>
        <w:spacing w:before="231" w:after="231" w:line="380" w:lineRule="exact"/>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十二、违约责任</w:t>
      </w:r>
    </w:p>
    <w:p w14:paraId="2AE4B2A2">
      <w:pPr>
        <w:pStyle w:val="17"/>
        <w:spacing w:line="360" w:lineRule="auto"/>
        <w:ind w:firstLine="420" w:firstLineChars="200"/>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1、若甲方未按照本合同约定的时间向乙方支付款项，应按照合同订立时1年期贷款市场报价利率（LPR）向乙方支付逾期利息，直至款项付清之日止。</w:t>
      </w:r>
    </w:p>
    <w:p w14:paraId="0EC2DD49">
      <w:pPr>
        <w:pStyle w:val="26"/>
        <w:snapToGrid w:val="0"/>
        <w:spacing w:before="231" w:after="231" w:line="360" w:lineRule="auto"/>
        <w:ind w:firstLine="420" w:firstLineChars="200"/>
        <w:rPr>
          <w:rFonts w:hint="eastAsia"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lang w:val="en-US" w:eastAsia="zh-CN"/>
          <w14:textFill>
            <w14:solidFill>
              <w14:schemeClr w14:val="tx1"/>
            </w14:solidFill>
          </w14:textFill>
        </w:rPr>
        <w:t>2</w:t>
      </w:r>
      <w:r>
        <w:rPr>
          <w:rFonts w:hint="eastAsia" w:hAnsi="宋体" w:cs="宋体"/>
          <w:bCs/>
          <w:color w:val="000000" w:themeColor="text1"/>
          <w:sz w:val="21"/>
          <w:szCs w:val="21"/>
          <w14:textFill>
            <w14:solidFill>
              <w14:schemeClr w14:val="tx1"/>
            </w14:solidFill>
          </w14:textFill>
        </w:rPr>
        <w:t>、乙方逾期交付的，每逾期1天，乙方向甲方偿付合同总额的5‰的滞纳金。如乙方逾期交付达10天，甲方有权解除合同，解除合同的通知自到达乙方时生效，乙方并应向甲方支付合同总价5%的违约金，该违约金不足以弥补甲方的实际损失的，由乙方负责补充赔偿。</w:t>
      </w:r>
    </w:p>
    <w:p w14:paraId="5F894A74">
      <w:pPr>
        <w:pStyle w:val="26"/>
        <w:snapToGrid w:val="0"/>
        <w:spacing w:before="231" w:after="231" w:line="360" w:lineRule="auto"/>
        <w:ind w:firstLine="420" w:firstLineChars="200"/>
        <w:rPr>
          <w:rFonts w:hint="eastAsia"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lang w:val="en-US" w:eastAsia="zh-CN"/>
          <w14:textFill>
            <w14:solidFill>
              <w14:schemeClr w14:val="tx1"/>
            </w14:solidFill>
          </w14:textFill>
        </w:rPr>
        <w:t>3</w:t>
      </w:r>
      <w:r>
        <w:rPr>
          <w:rFonts w:hint="eastAsia" w:hAnsi="宋体" w:cs="宋体"/>
          <w:bCs/>
          <w:color w:val="000000" w:themeColor="text1"/>
          <w:sz w:val="21"/>
          <w:szCs w:val="21"/>
          <w14:textFill>
            <w14:solidFill>
              <w14:schemeClr w14:val="tx1"/>
            </w14:solidFill>
          </w14:textFill>
        </w:rPr>
        <w:t>、乙方在承担违约责任后，仍应继续履行合同规定的义务（甲方解除合同的除外）。甲方未能及时追究乙方的任何一项违约责任并不表明甲方放弃追究乙方该项或其他违约责任。</w:t>
      </w:r>
    </w:p>
    <w:p w14:paraId="33F1800E">
      <w:pPr>
        <w:pStyle w:val="26"/>
        <w:snapToGrid w:val="0"/>
        <w:spacing w:before="231" w:after="231" w:line="360" w:lineRule="auto"/>
        <w:ind w:firstLine="420" w:firstLineChars="200"/>
        <w:rPr>
          <w:rFonts w:hint="eastAsia"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lang w:val="en-US" w:eastAsia="zh-CN"/>
          <w14:textFill>
            <w14:solidFill>
              <w14:schemeClr w14:val="tx1"/>
            </w14:solidFill>
          </w14:textFill>
        </w:rPr>
        <w:t>4</w:t>
      </w:r>
      <w:r>
        <w:rPr>
          <w:rFonts w:hint="eastAsia" w:hAnsi="宋体" w:cs="宋体"/>
          <w:bCs/>
          <w:color w:val="000000" w:themeColor="text1"/>
          <w:sz w:val="21"/>
          <w:szCs w:val="21"/>
          <w14:textFill>
            <w14:solidFill>
              <w14:schemeClr w14:val="tx1"/>
            </w14:solidFill>
          </w14:textFill>
        </w:rPr>
        <w:t>、乙方虚假承诺，或经相关部门检测验收提供的服务不能满足招标文件要求，或是由于乙方的过错造成合同无法继续履行的，乙方应向甲方支付不少于合同总价30%赔偿金并扣留履约保证金。不足以弥补甲方的实际损失的，由乙方负责补充赔偿</w:t>
      </w:r>
    </w:p>
    <w:p w14:paraId="5BFF948F">
      <w:pPr>
        <w:pStyle w:val="26"/>
        <w:snapToGrid w:val="0"/>
        <w:spacing w:before="231" w:after="231" w:line="380" w:lineRule="exact"/>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十三、不可抗力事件处理</w:t>
      </w:r>
    </w:p>
    <w:p w14:paraId="35EF08AD">
      <w:pPr>
        <w:pStyle w:val="26"/>
        <w:snapToGrid w:val="0"/>
        <w:spacing w:before="231" w:after="231" w:line="380" w:lineRule="exact"/>
        <w:ind w:firstLine="420" w:firstLineChars="200"/>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 在合同有效期内，任何一方因不可抗力事件导致不能履行合同，则合同履行期可延长，其延长期与不可抗力影响期相同。</w:t>
      </w:r>
    </w:p>
    <w:p w14:paraId="6F9E9484">
      <w:pPr>
        <w:pStyle w:val="26"/>
        <w:snapToGrid w:val="0"/>
        <w:spacing w:before="231" w:after="231" w:line="380" w:lineRule="exact"/>
        <w:ind w:firstLine="420" w:firstLineChars="200"/>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 不可抗力事件发生后，应立即通知对方，并寄送有关权威机构出具的证明。</w:t>
      </w:r>
    </w:p>
    <w:p w14:paraId="12027E93">
      <w:pPr>
        <w:pStyle w:val="26"/>
        <w:snapToGrid w:val="0"/>
        <w:spacing w:before="231" w:after="231" w:line="380" w:lineRule="exact"/>
        <w:ind w:firstLine="420" w:firstLineChars="200"/>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3、 不可抗力事件延续120天以上，双方应通过友好协商，确定是否继续履行合同。</w:t>
      </w:r>
    </w:p>
    <w:p w14:paraId="4540E491">
      <w:pPr>
        <w:pStyle w:val="26"/>
        <w:snapToGrid w:val="0"/>
        <w:spacing w:before="231" w:after="231" w:line="380" w:lineRule="exact"/>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十四、诉讼</w:t>
      </w:r>
    </w:p>
    <w:p w14:paraId="16522E54">
      <w:pPr>
        <w:pStyle w:val="26"/>
        <w:snapToGrid w:val="0"/>
        <w:spacing w:before="231" w:after="231" w:line="380" w:lineRule="exact"/>
        <w:ind w:firstLine="420" w:firstLineChars="200"/>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 xml:space="preserve"> 双方在执行合同中所发生的一切争议，应通过协商解决。如协商不成，可向甲方所在地法院起诉。</w:t>
      </w:r>
    </w:p>
    <w:p w14:paraId="7C05A084">
      <w:pPr>
        <w:pStyle w:val="26"/>
        <w:snapToGrid w:val="0"/>
        <w:spacing w:before="231" w:after="231" w:line="380" w:lineRule="exact"/>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十五、合同生效及其它</w:t>
      </w:r>
    </w:p>
    <w:p w14:paraId="726CFD8B">
      <w:pPr>
        <w:pStyle w:val="26"/>
        <w:snapToGrid w:val="0"/>
        <w:spacing w:before="231" w:after="231" w:line="380" w:lineRule="exact"/>
        <w:ind w:firstLine="420" w:firstLineChars="200"/>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 合同经双方法定代表人或负责人或授权代表签字并加盖单位公章后生效。</w:t>
      </w:r>
    </w:p>
    <w:p w14:paraId="56B8EA35">
      <w:pPr>
        <w:pStyle w:val="26"/>
        <w:snapToGrid w:val="0"/>
        <w:spacing w:before="231" w:after="231" w:line="380" w:lineRule="exact"/>
        <w:ind w:firstLine="420" w:firstLineChars="200"/>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2、合同执行中涉及采购资金和采购内容修改或补充的，须经有关部门审批，并签书面补充协议报政府采购监督管理部门备案，方可作为主合同不可分割的一部分。</w:t>
      </w:r>
    </w:p>
    <w:p w14:paraId="4A56AAA5">
      <w:pPr>
        <w:pStyle w:val="26"/>
        <w:snapToGrid w:val="0"/>
        <w:spacing w:before="231" w:after="231" w:line="380" w:lineRule="exact"/>
        <w:ind w:firstLine="420" w:firstLineChars="200"/>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3、本合同未尽事宜，遵照《民法典》有关条文执行。</w:t>
      </w:r>
    </w:p>
    <w:p w14:paraId="628CD859">
      <w:pPr>
        <w:pStyle w:val="26"/>
        <w:snapToGrid w:val="0"/>
        <w:spacing w:before="231" w:after="231" w:line="380" w:lineRule="exact"/>
        <w:ind w:firstLine="420" w:firstLineChars="200"/>
        <w:rPr>
          <w:rFonts w:hint="eastAsia"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4、本合同一式肆份，具有同等法律效力，甲乙双方各执贰份。</w:t>
      </w:r>
    </w:p>
    <w:p w14:paraId="6953F984">
      <w:pPr>
        <w:pStyle w:val="26"/>
        <w:snapToGrid w:val="0"/>
        <w:spacing w:before="231" w:after="231" w:line="380" w:lineRule="exact"/>
        <w:rPr>
          <w:rFonts w:hint="eastAsia" w:hAnsi="宋体" w:cs="宋体"/>
          <w:bCs/>
          <w:color w:val="000000" w:themeColor="text1"/>
          <w:sz w:val="21"/>
          <w:szCs w:val="21"/>
          <w14:textFill>
            <w14:solidFill>
              <w14:schemeClr w14:val="tx1"/>
            </w14:solidFill>
          </w14:textFill>
        </w:rPr>
      </w:pPr>
    </w:p>
    <w:p w14:paraId="62E279B9">
      <w:pPr>
        <w:pStyle w:val="26"/>
        <w:snapToGrid w:val="0"/>
        <w:spacing w:line="480" w:lineRule="auto"/>
        <w:ind w:firstLine="420" w:firstLineChars="200"/>
        <w:rPr>
          <w:rFonts w:hint="eastAsia"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甲方：（盖章）                                乙方：（盖章）</w:t>
      </w:r>
    </w:p>
    <w:p w14:paraId="223F2DD5">
      <w:pPr>
        <w:pStyle w:val="26"/>
        <w:snapToGrid w:val="0"/>
        <w:spacing w:line="480" w:lineRule="auto"/>
        <w:ind w:firstLine="420" w:firstLineChars="200"/>
        <w:rPr>
          <w:rFonts w:hint="eastAsia"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法定代表人：　　　　　　　　                  法定代表人：</w:t>
      </w:r>
    </w:p>
    <w:p w14:paraId="5A8CA057">
      <w:pPr>
        <w:pStyle w:val="26"/>
        <w:snapToGrid w:val="0"/>
        <w:spacing w:line="480" w:lineRule="auto"/>
        <w:ind w:firstLine="420" w:firstLineChars="200"/>
        <w:rPr>
          <w:rFonts w:hint="eastAsia"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或授权委托人：　　　　　　　　　　            或授权委托人：</w:t>
      </w:r>
    </w:p>
    <w:p w14:paraId="4E3D0F34">
      <w:pPr>
        <w:pStyle w:val="26"/>
        <w:snapToGrid w:val="0"/>
        <w:spacing w:line="480" w:lineRule="auto"/>
        <w:ind w:firstLine="420" w:firstLineChars="200"/>
        <w:rPr>
          <w:rFonts w:hint="eastAsia"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地址：　　　　　　　　　　　                  地址：</w:t>
      </w:r>
    </w:p>
    <w:p w14:paraId="6F19CCB8">
      <w:pPr>
        <w:pStyle w:val="26"/>
        <w:snapToGrid w:val="0"/>
        <w:spacing w:line="480" w:lineRule="auto"/>
        <w:ind w:firstLine="420" w:firstLineChars="200"/>
        <w:rPr>
          <w:rFonts w:hint="eastAsia"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电话：　　　　　　　　　　　                  电话：</w:t>
      </w:r>
    </w:p>
    <w:p w14:paraId="23A7EA59">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签订日期：　年　月　日                        签订日期：  年　月　日</w:t>
      </w:r>
    </w:p>
    <w:p w14:paraId="09E1939D">
      <w:pPr>
        <w:spacing w:line="360" w:lineRule="exact"/>
        <w:rPr>
          <w:rFonts w:ascii="宋体" w:hAnsi="宋体" w:cs="宋体"/>
          <w:color w:val="000000" w:themeColor="text1"/>
          <w:szCs w:val="21"/>
          <w14:textFill>
            <w14:solidFill>
              <w14:schemeClr w14:val="tx1"/>
            </w14:solidFill>
          </w14:textFill>
        </w:rPr>
      </w:pPr>
    </w:p>
    <w:p w14:paraId="2DE8A7BB">
      <w:pPr>
        <w:spacing w:line="360" w:lineRule="exact"/>
        <w:rPr>
          <w:rFonts w:ascii="宋体" w:hAnsi="宋体" w:cs="宋体"/>
          <w:color w:val="000000" w:themeColor="text1"/>
          <w:szCs w:val="21"/>
          <w14:textFill>
            <w14:solidFill>
              <w14:schemeClr w14:val="tx1"/>
            </w14:solidFill>
          </w14:textFill>
        </w:rPr>
      </w:pPr>
    </w:p>
    <w:p w14:paraId="51778587">
      <w:pPr>
        <w:spacing w:after="565" w:line="1" w:lineRule="exact"/>
        <w:rPr>
          <w:rFonts w:ascii="宋体" w:hAnsi="宋体" w:cs="宋体"/>
          <w:color w:val="000000" w:themeColor="text1"/>
          <w:szCs w:val="21"/>
          <w14:textFill>
            <w14:solidFill>
              <w14:schemeClr w14:val="tx1"/>
            </w14:solidFill>
          </w14:textFill>
        </w:rPr>
      </w:pPr>
    </w:p>
    <w:p w14:paraId="4C1BE4EA">
      <w:pPr>
        <w:spacing w:line="1" w:lineRule="exact"/>
        <w:rPr>
          <w:rFonts w:ascii="宋体" w:hAnsi="宋体" w:cs="宋体"/>
          <w:color w:val="000000" w:themeColor="text1"/>
          <w:szCs w:val="21"/>
          <w14:textFill>
            <w14:solidFill>
              <w14:schemeClr w14:val="tx1"/>
            </w14:solidFill>
          </w14:textFill>
        </w:rPr>
        <w:sectPr>
          <w:footerReference r:id="rId6" w:type="first"/>
          <w:footerReference r:id="rId5" w:type="default"/>
          <w:pgSz w:w="11900" w:h="16840"/>
          <w:pgMar w:top="1418" w:right="1418" w:bottom="1418" w:left="1418" w:header="0" w:footer="992" w:gutter="0"/>
          <w:pgBorders>
            <w:top w:val="none" w:sz="0" w:space="0"/>
            <w:left w:val="none" w:sz="0" w:space="0"/>
            <w:bottom w:val="none" w:sz="0" w:space="0"/>
            <w:right w:val="none" w:sz="0" w:space="0"/>
          </w:pgBorders>
          <w:pgNumType w:fmt="decimal" w:start="1"/>
          <w:cols w:space="720" w:num="1"/>
          <w:titlePg/>
          <w:docGrid w:linePitch="360" w:charSpace="0"/>
        </w:sectPr>
      </w:pPr>
    </w:p>
    <w:p w14:paraId="4E9DBBFD">
      <w:pPr>
        <w:tabs>
          <w:tab w:val="left" w:pos="312"/>
        </w:tabs>
        <w:spacing w:line="520" w:lineRule="exact"/>
        <w:jc w:val="left"/>
        <w:rPr>
          <w:rFonts w:ascii="宋体" w:hAnsi="宋体"/>
          <w:b/>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附件：</w:t>
      </w:r>
    </w:p>
    <w:p w14:paraId="00DDF6EE">
      <w:pPr>
        <w:widowControl w:val="0"/>
        <w:autoSpaceDE w:val="0"/>
        <w:autoSpaceDN w:val="0"/>
        <w:adjustRightInd w:val="0"/>
        <w:spacing w:before="100" w:after="100"/>
        <w:ind w:left="250" w:right="720" w:firstLine="482"/>
        <w:jc w:val="center"/>
        <w:outlineLvl w:val="1"/>
        <w:rPr>
          <w:rFonts w:ascii="宋体" w:hAnsi="宋体" w:eastAsia="宋体" w:cs="宋体"/>
          <w:b/>
          <w:color w:val="000000" w:themeColor="text1"/>
          <w:kern w:val="2"/>
          <w:sz w:val="24"/>
          <w:szCs w:val="20"/>
          <w:lang w:val="en-US" w:eastAsia="zh-CN" w:bidi="ar-SA"/>
          <w14:textFill>
            <w14:solidFill>
              <w14:schemeClr w14:val="tx1"/>
            </w14:solidFill>
          </w14:textFill>
        </w:rPr>
      </w:pPr>
      <w:r>
        <w:rPr>
          <w:rFonts w:hint="eastAsia" w:ascii="宋体" w:hAnsi="宋体" w:eastAsia="宋体" w:cs="宋体"/>
          <w:b/>
          <w:color w:val="000000" w:themeColor="text1"/>
          <w:kern w:val="2"/>
          <w:sz w:val="24"/>
          <w:szCs w:val="20"/>
          <w:lang w:val="en-US" w:eastAsia="zh-CN" w:bidi="ar-SA"/>
          <w14:textFill>
            <w14:solidFill>
              <w14:schemeClr w14:val="tx1"/>
            </w14:solidFill>
          </w14:textFill>
        </w:rPr>
        <w:t>安全生产合同</w:t>
      </w:r>
    </w:p>
    <w:p w14:paraId="1D692263">
      <w:pPr>
        <w:keepNext w:val="0"/>
        <w:keepLines w:val="0"/>
        <w:pageBreakBefore w:val="0"/>
        <w:widowControl w:val="0"/>
        <w:tabs>
          <w:tab w:val="left" w:pos="5023"/>
        </w:tabs>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为在</w:t>
      </w:r>
      <w:r>
        <w:rPr>
          <w:rFonts w:hint="eastAsia" w:ascii="宋体" w:hAnsi="宋体" w:eastAsia="宋体" w:cs="宋体"/>
          <w:color w:val="000000" w:themeColor="text1"/>
          <w:kern w:val="0"/>
          <w:szCs w:val="21"/>
          <w:u w:val="single"/>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施工合同的实施过程中创造安全、高效的施工环境，切实搞好本项目的安全管理工作，本项目发包人</w:t>
      </w:r>
      <w:r>
        <w:rPr>
          <w:rFonts w:hint="eastAsia" w:ascii="宋体" w:hAnsi="宋体" w:eastAsia="宋体" w:cs="宋体"/>
          <w:color w:val="000000" w:themeColor="text1"/>
          <w:kern w:val="0"/>
          <w:szCs w:val="21"/>
          <w:u w:val="single"/>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（以下简称“甲方”）与承包人</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（以下简称“乙方”）特此签订安全生产合同：</w:t>
      </w:r>
    </w:p>
    <w:p w14:paraId="1F5589AD">
      <w:pPr>
        <w:keepNext w:val="0"/>
        <w:keepLines w:val="0"/>
        <w:pageBreakBefore w:val="0"/>
        <w:widowControl w:val="0"/>
        <w:tabs>
          <w:tab w:val="left" w:pos="5023"/>
        </w:tabs>
        <w:kinsoku/>
        <w:wordWrap/>
        <w:overflowPunct/>
        <w:topLinePunct w:val="0"/>
        <w:autoSpaceDE/>
        <w:autoSpaceDN/>
        <w:bidi w:val="0"/>
        <w:adjustRightInd/>
        <w:snapToGrid/>
        <w:spacing w:line="360" w:lineRule="auto"/>
        <w:ind w:firstLine="420" w:firstLineChars="200"/>
        <w:textAlignment w:val="auto"/>
        <w:outlineLvl w:val="1"/>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一、甲方职责</w:t>
      </w:r>
    </w:p>
    <w:p w14:paraId="0824B0D0">
      <w:pPr>
        <w:keepNext w:val="0"/>
        <w:keepLines w:val="0"/>
        <w:pageBreakBefore w:val="0"/>
        <w:widowControl w:val="0"/>
        <w:tabs>
          <w:tab w:val="left" w:pos="5023"/>
        </w:tabs>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1、严格遵守国家有关安全生产的法律、认真执行工程承包合同中的有关安全要求。</w:t>
      </w:r>
    </w:p>
    <w:p w14:paraId="16DAD78A">
      <w:pPr>
        <w:keepNext w:val="0"/>
        <w:keepLines w:val="0"/>
        <w:pageBreakBefore w:val="0"/>
        <w:widowControl w:val="0"/>
        <w:tabs>
          <w:tab w:val="left" w:pos="5023"/>
        </w:tabs>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2、不得对乙方提出不符合建设工程安全生产法律、法规和强制性标准规定要求。</w:t>
      </w:r>
    </w:p>
    <w:p w14:paraId="7C67E7E9">
      <w:pPr>
        <w:keepNext w:val="0"/>
        <w:keepLines w:val="0"/>
        <w:pageBreakBefore w:val="0"/>
        <w:widowControl w:val="0"/>
        <w:tabs>
          <w:tab w:val="left" w:pos="5023"/>
        </w:tabs>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3、不得明示或暗示施工单位购买、租赁、使用不符合安全施工要求的安全防护用具、机械设备、施工机具及配件。</w:t>
      </w:r>
    </w:p>
    <w:p w14:paraId="34D7F4FB">
      <w:pPr>
        <w:keepNext w:val="0"/>
        <w:keepLines w:val="0"/>
        <w:pageBreakBefore w:val="0"/>
        <w:widowControl w:val="0"/>
        <w:tabs>
          <w:tab w:val="left" w:pos="5023"/>
        </w:tabs>
        <w:kinsoku/>
        <w:wordWrap/>
        <w:overflowPunct/>
        <w:topLinePunct w:val="0"/>
        <w:autoSpaceDE/>
        <w:autoSpaceDN/>
        <w:bidi w:val="0"/>
        <w:adjustRightInd/>
        <w:snapToGrid/>
        <w:spacing w:line="360" w:lineRule="auto"/>
        <w:ind w:firstLine="420" w:firstLineChars="200"/>
        <w:textAlignment w:val="auto"/>
        <w:outlineLvl w:val="1"/>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二、乙方职责</w:t>
      </w:r>
    </w:p>
    <w:p w14:paraId="3673B761">
      <w:pPr>
        <w:keepNext w:val="0"/>
        <w:keepLines w:val="0"/>
        <w:pageBreakBefore w:val="0"/>
        <w:widowControl w:val="0"/>
        <w:tabs>
          <w:tab w:val="left" w:pos="5023"/>
        </w:tabs>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1、承包人应遵守国家工程建设安全生产有关管理规定，严格按安全标准组织施工，采取一切必要的安全措施，消除事故隐患，确保施工安全，并对施工现场发生的一切安全问题负责。</w:t>
      </w:r>
    </w:p>
    <w:p w14:paraId="1505AADC">
      <w:pPr>
        <w:keepNext w:val="0"/>
        <w:keepLines w:val="0"/>
        <w:pageBreakBefore w:val="0"/>
        <w:widowControl w:val="0"/>
        <w:tabs>
          <w:tab w:val="left" w:pos="5023"/>
        </w:tabs>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坚持“安全第一、预防为主”和“管生产必须管安全”的原则，加强安全生产宣传教育，增强全员安全生产意识，建立健全各项安全生产的管理机构和安全生产管理制度，配备专职及兼职安全管理人员，有组织有计划地开展安全生产活动。各级领导、工程技术人员、生产管理人员和具体操作人员，必须熟悉和遵守本条款的各项规定，做到生产与安全工作同时计划、布置、检查、总结和评比。</w:t>
      </w:r>
    </w:p>
    <w:p w14:paraId="16EF9B05">
      <w:pPr>
        <w:keepNext w:val="0"/>
        <w:keepLines w:val="0"/>
        <w:pageBreakBefore w:val="0"/>
        <w:widowControl w:val="0"/>
        <w:tabs>
          <w:tab w:val="left" w:pos="5023"/>
        </w:tabs>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建立健全安全生产责任制。从派驻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59E8B067">
      <w:pPr>
        <w:keepNext w:val="0"/>
        <w:keepLines w:val="0"/>
        <w:pageBreakBefore w:val="0"/>
        <w:widowControl w:val="0"/>
        <w:tabs>
          <w:tab w:val="left" w:pos="5023"/>
        </w:tabs>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4、乙方在任何时候都应采取各种合理的预防措施，防止其员工发生任何违法、违禁、暴力或妨碍治安的行为。</w:t>
      </w:r>
    </w:p>
    <w:p w14:paraId="2D9AD121">
      <w:pPr>
        <w:keepNext w:val="0"/>
        <w:keepLines w:val="0"/>
        <w:pageBreakBefore w:val="0"/>
        <w:widowControl w:val="0"/>
        <w:tabs>
          <w:tab w:val="left" w:pos="5023"/>
        </w:tabs>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乙方必须具有安全生产许可证，项目经理、安全员须取得安全考核合格证，参加施工的人员必须接受三级安全教育，熟知和遵守本工种的各项安全技术操作规程，定期进行安全技术考核，合格者方准上岗操作。对于从事电气、起重、建筑登高架设作业、锅炉、压力容器、焊接、机动车船驾驶、爆破、潜水、瓦斯检验等特殊工种作业现象时，项目经理必须承担管理责任。</w:t>
      </w:r>
    </w:p>
    <w:p w14:paraId="302760F0">
      <w:pPr>
        <w:keepNext w:val="0"/>
        <w:keepLines w:val="0"/>
        <w:pageBreakBefore w:val="0"/>
        <w:widowControl w:val="0"/>
        <w:tabs>
          <w:tab w:val="left" w:pos="5023"/>
        </w:tabs>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3129917D">
      <w:pPr>
        <w:keepNext w:val="0"/>
        <w:keepLines w:val="0"/>
        <w:pageBreakBefore w:val="0"/>
        <w:widowControl w:val="0"/>
        <w:tabs>
          <w:tab w:val="left" w:pos="5023"/>
        </w:tabs>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7、操作人员上岗，必须按规定穿戴防护用品。施工负责人和安全检查员应随时检查劳动防护用品的穿戴情况，不按规定穿戴防护用品的人员不得上岗。</w:t>
      </w:r>
    </w:p>
    <w:p w14:paraId="146F1DFD">
      <w:pPr>
        <w:keepNext w:val="0"/>
        <w:keepLines w:val="0"/>
        <w:pageBreakBefore w:val="0"/>
        <w:widowControl w:val="0"/>
        <w:tabs>
          <w:tab w:val="left" w:pos="5023"/>
        </w:tabs>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8、所用施工机具设备均应定期检查，并有安全员的签字记录，保证其经常处于完好状态；不合格的机具、设备和劳动保护用品严禁使用。</w:t>
      </w:r>
    </w:p>
    <w:p w14:paraId="6C767F8B">
      <w:pPr>
        <w:keepNext w:val="0"/>
        <w:keepLines w:val="0"/>
        <w:pageBreakBefore w:val="0"/>
        <w:widowControl w:val="0"/>
        <w:tabs>
          <w:tab w:val="left" w:pos="5023"/>
        </w:tabs>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9、施工中采用新技术、新工艺、新设备、新材料时，必须制定相应的安全技术措施，技术措施，施工现场必须具有相关的安全标志牌。</w:t>
      </w:r>
    </w:p>
    <w:p w14:paraId="63600B65">
      <w:pPr>
        <w:keepNext w:val="0"/>
        <w:keepLines w:val="0"/>
        <w:pageBreakBefore w:val="0"/>
        <w:widowControl w:val="0"/>
        <w:tabs>
          <w:tab w:val="left" w:pos="5023"/>
        </w:tabs>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10、施工现场必须具有相关的安全技术资料建立档案，并确定专人管理，安全技术资料应当真实、完整齐全。</w:t>
      </w:r>
    </w:p>
    <w:p w14:paraId="1B721B19">
      <w:pPr>
        <w:keepNext w:val="0"/>
        <w:keepLines w:val="0"/>
        <w:pageBreakBefore w:val="0"/>
        <w:widowControl w:val="0"/>
        <w:tabs>
          <w:tab w:val="left" w:pos="5023"/>
        </w:tabs>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施工单位应当接受建设单位、监理单位及政府安全监督机构对其安全生产的监督检查。对于检查单位下达的整改意见通知，乙方要立即予以整改，由此发生的费用乙方自负。对于因此而造成工期延误的，乙方还要按合同规定向建设单位支付违约金。</w:t>
      </w:r>
    </w:p>
    <w:p w14:paraId="3B99B019">
      <w:pPr>
        <w:keepNext w:val="0"/>
        <w:keepLines w:val="0"/>
        <w:pageBreakBefore w:val="0"/>
        <w:widowControl w:val="0"/>
        <w:tabs>
          <w:tab w:val="left" w:pos="5023"/>
        </w:tabs>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12、乙方必须按照本工程项目特点，组织制定本工程实施中的生产安全专项方案和事故应急救援预案；如果发生安全事故，应按照有关规定，及时上报有关部门，并坚持“三不放过”的原则，严肃处理相关责任。</w:t>
      </w:r>
    </w:p>
    <w:p w14:paraId="72337EBB">
      <w:pPr>
        <w:keepNext w:val="0"/>
        <w:keepLines w:val="0"/>
        <w:pageBreakBefore w:val="0"/>
        <w:widowControl w:val="0"/>
        <w:tabs>
          <w:tab w:val="left" w:pos="5023"/>
        </w:tabs>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13、乙方应按有关规定在施工现场及周边环境设置必要的道路施工安全标志、警示标志、禁行标志等交通安全设施。必要时实施封闭施工，同时加强雨、雪等恶劣天气及夜间的值班巡查，确保车辆和行人安全。</w:t>
      </w:r>
    </w:p>
    <w:p w14:paraId="78272CBC">
      <w:pPr>
        <w:keepNext w:val="0"/>
        <w:keepLines w:val="0"/>
        <w:pageBreakBefore w:val="0"/>
        <w:widowControl w:val="0"/>
        <w:tabs>
          <w:tab w:val="left" w:pos="5023"/>
        </w:tabs>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14、发生重大伤亡及其他安全事故，承包人应按有关规定立即上报有关部门并通知现场工程师，同时按政府有关部门要求处理。</w:t>
      </w:r>
    </w:p>
    <w:p w14:paraId="2AE43E08">
      <w:pPr>
        <w:keepNext w:val="0"/>
        <w:keepLines w:val="0"/>
        <w:pageBreakBefore w:val="0"/>
        <w:widowControl w:val="0"/>
        <w:tabs>
          <w:tab w:val="left" w:pos="5023"/>
        </w:tabs>
        <w:kinsoku/>
        <w:wordWrap/>
        <w:overflowPunct/>
        <w:topLinePunct w:val="0"/>
        <w:autoSpaceDE/>
        <w:autoSpaceDN/>
        <w:bidi w:val="0"/>
        <w:adjustRightInd/>
        <w:snapToGrid/>
        <w:spacing w:line="360" w:lineRule="auto"/>
        <w:ind w:firstLine="420" w:firstLineChars="200"/>
        <w:textAlignment w:val="auto"/>
        <w:outlineLvl w:val="1"/>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三、违约责任</w:t>
      </w:r>
    </w:p>
    <w:p w14:paraId="6050ED86">
      <w:pPr>
        <w:keepNext w:val="0"/>
        <w:keepLines w:val="0"/>
        <w:pageBreakBefore w:val="0"/>
        <w:widowControl w:val="0"/>
        <w:tabs>
          <w:tab w:val="left" w:pos="5023"/>
        </w:tabs>
        <w:kinsoku/>
        <w:wordWrap/>
        <w:overflowPunct/>
        <w:topLinePunct w:val="0"/>
        <w:autoSpaceDE/>
        <w:autoSpaceDN/>
        <w:bidi w:val="0"/>
        <w:adjustRightInd/>
        <w:snapToGrid/>
        <w:spacing w:line="360" w:lineRule="auto"/>
        <w:ind w:firstLine="420" w:firstLineChars="200"/>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1、乙方应对发生在本工程施工段内自开工至竣工交付期间的交通安全、施工安全事故（包括人员）负全部法律责任，并承担由此而发生的一切经济损失。</w:t>
      </w:r>
    </w:p>
    <w:p w14:paraId="1786A98F">
      <w:pPr>
        <w:keepNext w:val="0"/>
        <w:keepLines w:val="0"/>
        <w:pageBreakBefore w:val="0"/>
        <w:widowControl w:val="0"/>
        <w:tabs>
          <w:tab w:val="left" w:pos="5023"/>
        </w:tabs>
        <w:kinsoku/>
        <w:wordWrap/>
        <w:overflowPunct/>
        <w:topLinePunct w:val="0"/>
        <w:autoSpaceDE/>
        <w:autoSpaceDN/>
        <w:bidi w:val="0"/>
        <w:adjustRightInd/>
        <w:snapToGrid/>
        <w:spacing w:line="360" w:lineRule="auto"/>
        <w:ind w:firstLine="422" w:firstLineChars="200"/>
        <w:textAlignment w:val="auto"/>
        <w:rPr>
          <w:rFonts w:ascii="宋体" w:hAnsi="宋体" w:eastAsia="宋体" w:cs="Times New Roman"/>
          <w:b/>
          <w:bCs/>
          <w:color w:val="000000" w:themeColor="text1"/>
          <w:szCs w:val="21"/>
          <w14:textFill>
            <w14:solidFill>
              <w14:schemeClr w14:val="tx1"/>
            </w14:solidFill>
          </w14:textFill>
        </w:rPr>
      </w:pPr>
      <w:r>
        <w:rPr>
          <w:rFonts w:hint="eastAsia" w:ascii="宋体" w:hAnsi="宋体" w:eastAsia="宋体" w:cs="Times New Roman"/>
          <w:b/>
          <w:bCs/>
          <w:color w:val="000000" w:themeColor="text1"/>
          <w:szCs w:val="21"/>
          <w14:textFill>
            <w14:solidFill>
              <w14:schemeClr w14:val="tx1"/>
            </w14:solidFill>
          </w14:textFill>
        </w:rPr>
        <w:t>2、甲方有权对乙方安全生产工作落实情况进行监督检查，对乙方不符合安全生产的行为，甲方有权教育、制止和责成其限期整改，以及按责任违约给予相应的经济处理（100-10000元人民币/次）。如工程实施过程中出现人员伤亡、火警、火灾、机械等重大事故的，所有经济损失由乙方承担，乙方另向甲方承担合同价款1%~5%的违约金。</w:t>
      </w:r>
    </w:p>
    <w:p w14:paraId="1815AC66">
      <w:pPr>
        <w:keepNext w:val="0"/>
        <w:keepLines w:val="0"/>
        <w:pageBreakBefore w:val="0"/>
        <w:widowControl w:val="0"/>
        <w:tabs>
          <w:tab w:val="left" w:pos="5023"/>
        </w:tabs>
        <w:kinsoku/>
        <w:wordWrap/>
        <w:overflowPunct/>
        <w:topLinePunct w:val="0"/>
        <w:autoSpaceDE/>
        <w:autoSpaceDN/>
        <w:bidi w:val="0"/>
        <w:adjustRightInd/>
        <w:snapToGrid/>
        <w:spacing w:line="360" w:lineRule="auto"/>
        <w:ind w:firstLine="420" w:firstLineChars="200"/>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3、如乙方发生安全事故不及时妥善处理，引起纠纷或诉讼，甲方有权扣留其履约保证金和未付工程款用于支付事故处理费用。</w:t>
      </w:r>
    </w:p>
    <w:p w14:paraId="6AFD5F41">
      <w:pPr>
        <w:keepNext w:val="0"/>
        <w:keepLines w:val="0"/>
        <w:pageBreakBefore w:val="0"/>
        <w:widowControl w:val="0"/>
        <w:tabs>
          <w:tab w:val="left" w:pos="5023"/>
        </w:tabs>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本合同由双方法定代表人或其授权的代理人签署与加盖公章后生效，全部工程竣工验收合格后交付使用后失效。</w:t>
      </w:r>
    </w:p>
    <w:p w14:paraId="068F5AA2">
      <w:pPr>
        <w:tabs>
          <w:tab w:val="left" w:pos="5023"/>
        </w:tabs>
        <w:spacing w:line="360" w:lineRule="auto"/>
        <w:ind w:firstLine="420" w:firstLineChars="200"/>
        <w:rPr>
          <w:rFonts w:ascii="宋体" w:hAnsi="宋体" w:eastAsia="宋体" w:cs="宋体"/>
          <w:color w:val="000000" w:themeColor="text1"/>
          <w:szCs w:val="21"/>
          <w14:textFill>
            <w14:solidFill>
              <w14:schemeClr w14:val="tx1"/>
            </w14:solidFill>
          </w14:textFill>
        </w:rPr>
      </w:pPr>
    </w:p>
    <w:p w14:paraId="121A5C9C">
      <w:pPr>
        <w:tabs>
          <w:tab w:val="left" w:pos="5023"/>
        </w:tabs>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甲方单位：(盖章)                       乙方单位：(盖章)</w:t>
      </w:r>
    </w:p>
    <w:p w14:paraId="3669CCEB">
      <w:pPr>
        <w:tabs>
          <w:tab w:val="left" w:pos="5023"/>
        </w:tabs>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法定代表人签字：                       法定代表人签字：</w:t>
      </w:r>
    </w:p>
    <w:p w14:paraId="0D430FDB">
      <w:pPr>
        <w:tabs>
          <w:tab w:val="left" w:pos="5023"/>
        </w:tabs>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或授权委托人                           或授权委托人</w:t>
      </w:r>
    </w:p>
    <w:p w14:paraId="7E726F6A">
      <w:pPr>
        <w:spacing w:line="360" w:lineRule="auto"/>
        <w:ind w:firstLine="420" w:firstLineChars="200"/>
        <w:jc w:val="right"/>
        <w:rPr>
          <w:rFonts w:hint="eastAsia" w:ascii="宋体" w:hAnsi="宋体" w:cs="仿宋"/>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w:t>
      </w:r>
      <w:r>
        <w:rPr>
          <w:rFonts w:hint="eastAsia" w:ascii="宋体" w:hAnsi="宋体" w:eastAsia="宋体" w:cs="宋体"/>
          <w:color w:val="000000" w:themeColor="text1"/>
          <w:szCs w:val="21"/>
          <w:lang w:val="en-US" w:eastAsia="zh-CN"/>
          <w14:textFill>
            <w14:solidFill>
              <w14:schemeClr w14:val="tx1"/>
            </w14:solidFill>
          </w14:textFill>
        </w:rPr>
        <w:t>2025</w:t>
      </w:r>
      <w:r>
        <w:rPr>
          <w:rFonts w:hint="eastAsia" w:ascii="宋体" w:hAnsi="宋体" w:eastAsia="宋体" w:cs="宋体"/>
          <w:color w:val="000000" w:themeColor="text1"/>
          <w:szCs w:val="21"/>
          <w14:textFill>
            <w14:solidFill>
              <w14:schemeClr w14:val="tx1"/>
            </w14:solidFill>
          </w14:textFill>
        </w:rPr>
        <w:t>年  月  日</w:t>
      </w:r>
      <w:r>
        <w:rPr>
          <w:rFonts w:hint="eastAsia" w:ascii="宋体" w:hAnsi="宋体" w:cs="仿宋"/>
          <w:color w:val="000000" w:themeColor="text1"/>
          <w:szCs w:val="21"/>
          <w14:textFill>
            <w14:solidFill>
              <w14:schemeClr w14:val="tx1"/>
            </w14:solidFill>
          </w14:textFill>
        </w:rPr>
        <w:t xml:space="preserve">             </w:t>
      </w:r>
    </w:p>
    <w:p w14:paraId="2A8399B3">
      <w:pPr>
        <w:pStyle w:val="2"/>
        <w:rPr>
          <w:color w:val="000000" w:themeColor="text1"/>
          <w14:textFill>
            <w14:solidFill>
              <w14:schemeClr w14:val="tx1"/>
            </w14:solidFill>
          </w14:textFill>
        </w:rPr>
      </w:pPr>
    </w:p>
    <w:p w14:paraId="64DFB937">
      <w:pPr>
        <w:widowControl/>
        <w:jc w:val="center"/>
        <w:rPr>
          <w:rFonts w:ascii="宋体" w:hAnsi="宋体"/>
          <w:b/>
          <w:color w:val="000000" w:themeColor="text1"/>
          <w:sz w:val="32"/>
          <w:szCs w:val="21"/>
          <w14:textFill>
            <w14:solidFill>
              <w14:schemeClr w14:val="tx1"/>
            </w14:solidFill>
          </w14:textFill>
        </w:rPr>
      </w:pPr>
      <w:r>
        <w:rPr>
          <w:rFonts w:hint="eastAsia" w:ascii="宋体" w:hAnsi="宋体"/>
          <w:b/>
          <w:color w:val="000000" w:themeColor="text1"/>
          <w:sz w:val="32"/>
          <w:szCs w:val="21"/>
          <w14:textFill>
            <w14:solidFill>
              <w14:schemeClr w14:val="tx1"/>
            </w14:solidFill>
          </w14:textFill>
        </w:rPr>
        <w:t>2、廉政合同</w:t>
      </w:r>
    </w:p>
    <w:p w14:paraId="75D16565">
      <w:pPr>
        <w:adjustRightInd w:val="0"/>
        <w:snapToGrid w:val="0"/>
        <w:spacing w:line="480" w:lineRule="exact"/>
        <w:ind w:firstLine="420" w:firstLineChars="200"/>
        <w:jc w:val="left"/>
        <w:rPr>
          <w:rFonts w:ascii="宋体" w:hAnsi="宋体"/>
          <w:color w:val="000000" w:themeColor="text1"/>
          <w:szCs w:val="21"/>
          <w14:textFill>
            <w14:solidFill>
              <w14:schemeClr w14:val="tx1"/>
            </w14:solidFill>
          </w14:textFill>
        </w:rPr>
      </w:pPr>
    </w:p>
    <w:p w14:paraId="7D2BBB8A">
      <w:pPr>
        <w:adjustRightInd w:val="0"/>
        <w:snapToGrid w:val="0"/>
        <w:spacing w:line="48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根据有关项目廉政建设的规定，为做好项目实施过程中的党风廉政建设，保证项目建设高效优质，保证建设资金的安全和有效使用以及投资效益，本项目的项目法人（全称）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（以下简称“甲方”）与中标单位</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（以下简称“乙方”），特订立如下合同。</w:t>
      </w:r>
    </w:p>
    <w:p w14:paraId="11C6940C">
      <w:pPr>
        <w:adjustRightInd w:val="0"/>
        <w:snapToGrid w:val="0"/>
        <w:spacing w:line="48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1．甲乙双方的权利和义务</w:t>
      </w:r>
    </w:p>
    <w:p w14:paraId="0A2A4E07">
      <w:pPr>
        <w:adjustRightInd w:val="0"/>
        <w:snapToGrid w:val="0"/>
        <w:spacing w:line="48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（1）严格遵守党的政策规定和国家、省、市有关法律法规有关规定。</w:t>
      </w:r>
    </w:p>
    <w:p w14:paraId="140028D4">
      <w:pPr>
        <w:adjustRightInd w:val="0"/>
        <w:snapToGrid w:val="0"/>
        <w:spacing w:line="48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（2）严格执行本项目的合同文件，自觉按合同办事。</w:t>
      </w:r>
    </w:p>
    <w:p w14:paraId="652B0F07">
      <w:pPr>
        <w:adjustRightInd w:val="0"/>
        <w:snapToGrid w:val="0"/>
        <w:spacing w:line="48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（3）双方的业务活动坚持公开、公正、诚信、透明的原则（法律认定的商业秘密和合同文件另有规定除外），不得损害国家和集体利益，违反项目建设管理规章制度。</w:t>
      </w:r>
    </w:p>
    <w:p w14:paraId="3FEC5A5B">
      <w:pPr>
        <w:adjustRightInd w:val="0"/>
        <w:snapToGrid w:val="0"/>
        <w:spacing w:line="4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（4）建立健全廉政制度，开展廉政教育，设计廉政告示牌，公布举报电话，监督并认真查处违法违纪行为。</w:t>
      </w:r>
    </w:p>
    <w:p w14:paraId="69533497">
      <w:pPr>
        <w:adjustRightInd w:val="0"/>
        <w:snapToGrid w:val="0"/>
        <w:spacing w:line="4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（5）发现对方在业务活动中有违反廉政规定的行为，有及时提醒对方纠正的权利和义务。</w:t>
      </w:r>
    </w:p>
    <w:p w14:paraId="38157566">
      <w:pPr>
        <w:adjustRightInd w:val="0"/>
        <w:snapToGrid w:val="0"/>
        <w:spacing w:line="4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（6）发现对方严重违反合同义务条款的行为，有向其上级有关部门举报、建议给予处理并要求告知处理结果的权利。</w:t>
      </w:r>
    </w:p>
    <w:p w14:paraId="2A459D27">
      <w:pPr>
        <w:adjustRightInd w:val="0"/>
        <w:snapToGrid w:val="0"/>
        <w:spacing w:line="4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2．甲方的义务</w:t>
      </w:r>
    </w:p>
    <w:p w14:paraId="4BAAA581">
      <w:pPr>
        <w:adjustRightInd w:val="0"/>
        <w:snapToGrid w:val="0"/>
        <w:spacing w:line="4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（1）甲方及其工作人员不得索要或接受乙方的礼金、有价证券和贵重物品，不得在乙方报销任何应由甲方或甲方工作人员个人支付的费用等。</w:t>
      </w:r>
    </w:p>
    <w:p w14:paraId="6C9C1283">
      <w:pPr>
        <w:adjustRightInd w:val="0"/>
        <w:snapToGrid w:val="0"/>
        <w:spacing w:line="4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（2）甲方工作人员不得参加乙方安排的超标准宴请和娱乐活动；不得接受乙方提供的通讯工具、交通工具和高档办公用品等。</w:t>
      </w:r>
    </w:p>
    <w:p w14:paraId="3A7F24D3">
      <w:pPr>
        <w:adjustRightInd w:val="0"/>
        <w:snapToGrid w:val="0"/>
        <w:spacing w:line="4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（3）甲方及其工作人员不得要求或者接受乙方为其住房装修、婚丧嫁娶活动、配偶子女的工作安排以及出国出境、旅游等提供方便等。</w:t>
      </w:r>
    </w:p>
    <w:p w14:paraId="3AB48899">
      <w:pPr>
        <w:adjustRightInd w:val="0"/>
        <w:snapToGrid w:val="0"/>
        <w:spacing w:line="4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（4）甲方工作人员及其配偶、子女不得从事与甲方项目有关的材料设备供应、项目分包、劳务等经济活动等。</w:t>
      </w:r>
    </w:p>
    <w:p w14:paraId="3AE9162C">
      <w:pPr>
        <w:adjustRightInd w:val="0"/>
        <w:snapToGrid w:val="0"/>
        <w:spacing w:line="4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（5）甲方及其工作人员不得以任何理由向乙方推荐分包单位或推销材料，不得要求乙方购买合同规定外的材料和设备。</w:t>
      </w:r>
    </w:p>
    <w:p w14:paraId="1B045F7E">
      <w:pPr>
        <w:adjustRightInd w:val="0"/>
        <w:snapToGrid w:val="0"/>
        <w:spacing w:line="4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（6）甲方工作人员要秉公办事，不准营私舞弊，不准利用职权从事各种个人有偿中介活动和安排个人施工队伍。</w:t>
      </w:r>
    </w:p>
    <w:p w14:paraId="11D01F85">
      <w:pPr>
        <w:adjustRightInd w:val="0"/>
        <w:snapToGrid w:val="0"/>
        <w:spacing w:line="4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3．乙方义务</w:t>
      </w:r>
    </w:p>
    <w:p w14:paraId="7855F460">
      <w:pPr>
        <w:adjustRightInd w:val="0"/>
        <w:snapToGrid w:val="0"/>
        <w:spacing w:line="4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（1）乙方不得以任何理由向甲方及其工作人员行贿或馈赠礼金、有价证券、贵重礼品。</w:t>
      </w:r>
    </w:p>
    <w:p w14:paraId="148CF685">
      <w:pPr>
        <w:adjustRightInd w:val="0"/>
        <w:snapToGrid w:val="0"/>
        <w:spacing w:line="4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（2）乙方不得以任何名义为甲方及其工作人员报销应由甲方单位或个人支付的任何费用。</w:t>
      </w:r>
    </w:p>
    <w:p w14:paraId="7EDA18AA">
      <w:pPr>
        <w:adjustRightInd w:val="0"/>
        <w:snapToGrid w:val="0"/>
        <w:spacing w:line="4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（3）乙方不得以任何理由安排甲方工作人员参加超标准宴请及娱乐活动。</w:t>
      </w:r>
    </w:p>
    <w:p w14:paraId="0FF1357C">
      <w:pPr>
        <w:adjustRightInd w:val="0"/>
        <w:snapToGrid w:val="0"/>
        <w:spacing w:line="4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（4）乙方不得为甲方单位和个人购置或提拱通讯工具、交通工具和高档办公用品等。</w:t>
      </w:r>
    </w:p>
    <w:p w14:paraId="339D961D">
      <w:pPr>
        <w:adjustRightInd w:val="0"/>
        <w:snapToGrid w:val="0"/>
        <w:spacing w:line="4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4．违约责任</w:t>
      </w:r>
    </w:p>
    <w:p w14:paraId="3F9495A0">
      <w:pPr>
        <w:adjustRightInd w:val="0"/>
        <w:snapToGrid w:val="0"/>
        <w:spacing w:line="4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（1）甲方及其工作人员违反本合同第一、二条，按管理权限，依据有关规定给予党纪、政纪或组织处理；涉嫌犯罪的，移交司法机关追究刑事责任；给乙方单位造成经济损失的，应予以赔偿。</w:t>
      </w:r>
    </w:p>
    <w:p w14:paraId="423CF2B7">
      <w:pPr>
        <w:adjustRightInd w:val="0"/>
        <w:snapToGrid w:val="0"/>
        <w:spacing w:line="4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乙方及其工作人员违反本合同第一、三条，按管理权限，依据有关规定给予党纪、政纪组织处理；给甲方单位造成经济损失的，应予以赔偿；情节严重的，甲方建议建设行政主管部门给予乙方一至三年内不得进入其主管的项目建设市场的处罚。</w:t>
      </w:r>
    </w:p>
    <w:p w14:paraId="37383D48">
      <w:pPr>
        <w:adjustRightInd w:val="0"/>
        <w:snapToGrid w:val="0"/>
        <w:spacing w:line="4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双方约定：本合同由双方或双方上级单位的纪检监察机关负责监督执行。由甲方或甲方上级单位的纪检监察机关约请乙方或乙方上级单位纪检监察机关对本合同执行情况进行检查，提出在本合规定范围内的裁定意见。</w:t>
      </w:r>
    </w:p>
    <w:p w14:paraId="0393D517">
      <w:pPr>
        <w:adjustRightInd w:val="0"/>
        <w:snapToGrid w:val="0"/>
        <w:spacing w:line="4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6．本合同有效期为甲乙双方签署之日起至该项目竣工验收后止。</w:t>
      </w:r>
    </w:p>
    <w:p w14:paraId="59629657">
      <w:pPr>
        <w:adjustRightInd w:val="0"/>
        <w:snapToGrid w:val="0"/>
        <w:spacing w:line="4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7．本合同作为</w:t>
      </w:r>
      <w:r>
        <w:rPr>
          <w:rFonts w:hint="eastAsia" w:ascii="宋体" w:hAnsi="宋体"/>
          <w:color w:val="000000" w:themeColor="text1"/>
          <w:szCs w:val="21"/>
          <w:lang w:eastAsia="zh-CN"/>
          <w14:textFill>
            <w14:solidFill>
              <w14:schemeClr w14:val="tx1"/>
            </w14:solidFill>
          </w14:textFill>
        </w:rPr>
        <w:t>大丰区农村生活污水智慧管理平台（二期）</w:t>
      </w:r>
      <w:r>
        <w:rPr>
          <w:rFonts w:hint="eastAsia" w:ascii="宋体" w:hAnsi="宋体"/>
          <w:color w:val="000000" w:themeColor="text1"/>
          <w:szCs w:val="21"/>
          <w14:textFill>
            <w14:solidFill>
              <w14:schemeClr w14:val="tx1"/>
            </w14:solidFill>
          </w14:textFill>
        </w:rPr>
        <w:t>主合同的附件，与主合同具有同等的法律效力，经合同双方签署立即生效。</w:t>
      </w:r>
    </w:p>
    <w:p w14:paraId="362E7048">
      <w:pPr>
        <w:adjustRightInd w:val="0"/>
        <w:snapToGrid w:val="0"/>
        <w:spacing w:line="4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8．本合同正本一式</w:t>
      </w:r>
      <w:r>
        <w:rPr>
          <w:rFonts w:hint="eastAsia" w:ascii="宋体" w:hAnsi="宋体"/>
          <w:color w:val="000000" w:themeColor="text1"/>
          <w:szCs w:val="21"/>
          <w:lang w:val="en-US" w:eastAsia="zh-CN"/>
          <w14:textFill>
            <w14:solidFill>
              <w14:schemeClr w14:val="tx1"/>
            </w14:solidFill>
          </w14:textFill>
        </w:rPr>
        <w:t>四</w:t>
      </w:r>
      <w:r>
        <w:rPr>
          <w:rFonts w:hint="eastAsia" w:ascii="宋体" w:hAnsi="宋体"/>
          <w:color w:val="000000" w:themeColor="text1"/>
          <w:szCs w:val="21"/>
          <w14:textFill>
            <w14:solidFill>
              <w14:schemeClr w14:val="tx1"/>
            </w14:solidFill>
          </w14:textFill>
        </w:rPr>
        <w:t>份，甲乙双方各执</w:t>
      </w:r>
      <w:r>
        <w:rPr>
          <w:rFonts w:hint="eastAsia" w:ascii="宋体" w:hAnsi="宋体"/>
          <w:color w:val="000000" w:themeColor="text1"/>
          <w:szCs w:val="21"/>
          <w:lang w:val="en-US" w:eastAsia="zh-CN"/>
          <w14:textFill>
            <w14:solidFill>
              <w14:schemeClr w14:val="tx1"/>
            </w14:solidFill>
          </w14:textFill>
        </w:rPr>
        <w:t>二</w:t>
      </w:r>
      <w:r>
        <w:rPr>
          <w:rFonts w:hint="eastAsia" w:ascii="宋体" w:hAnsi="宋体"/>
          <w:color w:val="000000" w:themeColor="text1"/>
          <w:szCs w:val="21"/>
          <w14:textFill>
            <w14:solidFill>
              <w14:schemeClr w14:val="tx1"/>
            </w14:solidFill>
          </w14:textFill>
        </w:rPr>
        <w:t>份。</w:t>
      </w:r>
    </w:p>
    <w:p w14:paraId="2E964A7B">
      <w:pPr>
        <w:adjustRightInd w:val="0"/>
        <w:snapToGrid w:val="0"/>
        <w:spacing w:line="400" w:lineRule="exact"/>
        <w:ind w:firstLine="561"/>
        <w:rPr>
          <w:rFonts w:ascii="宋体" w:hAnsi="宋体"/>
          <w:color w:val="000000" w:themeColor="text1"/>
          <w:szCs w:val="21"/>
          <w14:textFill>
            <w14:solidFill>
              <w14:schemeClr w14:val="tx1"/>
            </w14:solidFill>
          </w14:textFill>
        </w:rPr>
      </w:pPr>
    </w:p>
    <w:p w14:paraId="56B41FBB">
      <w:pPr>
        <w:adjustRightInd w:val="0"/>
        <w:snapToGrid w:val="0"/>
        <w:spacing w:line="400" w:lineRule="exact"/>
        <w:ind w:firstLine="561"/>
        <w:rPr>
          <w:rFonts w:ascii="宋体" w:hAnsi="宋体"/>
          <w:color w:val="000000" w:themeColor="text1"/>
          <w:szCs w:val="21"/>
          <w14:textFill>
            <w14:solidFill>
              <w14:schemeClr w14:val="tx1"/>
            </w14:solidFill>
          </w14:textFill>
        </w:rPr>
      </w:pPr>
    </w:p>
    <w:p w14:paraId="57323AF9">
      <w:pPr>
        <w:adjustRightInd w:val="0"/>
        <w:snapToGrid w:val="0"/>
        <w:spacing w:line="400" w:lineRule="exact"/>
        <w:ind w:firstLine="561"/>
        <w:rPr>
          <w:rFonts w:ascii="宋体" w:hAnsi="宋体"/>
          <w:color w:val="000000" w:themeColor="text1"/>
          <w:szCs w:val="21"/>
          <w14:textFill>
            <w14:solidFill>
              <w14:schemeClr w14:val="tx1"/>
            </w14:solidFill>
          </w14:textFill>
        </w:rPr>
      </w:pPr>
    </w:p>
    <w:p w14:paraId="3D0D4DD4">
      <w:pPr>
        <w:adjustRightInd w:val="0"/>
        <w:snapToGrid w:val="0"/>
        <w:spacing w:line="720" w:lineRule="auto"/>
        <w:ind w:firstLine="56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甲方： (单位全称)  (盖章)               乙方：（单位全称）（盖章）</w:t>
      </w:r>
    </w:p>
    <w:p w14:paraId="426FA305">
      <w:pPr>
        <w:adjustRightInd w:val="0"/>
        <w:snapToGrid w:val="0"/>
        <w:spacing w:line="360" w:lineRule="auto"/>
        <w:ind w:firstLine="56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法定代表人或其                          法定代表人或其</w:t>
      </w:r>
    </w:p>
    <w:p w14:paraId="4FCDCAF6">
      <w:pPr>
        <w:adjustRightInd w:val="0"/>
        <w:snapToGrid w:val="0"/>
        <w:spacing w:line="360" w:lineRule="auto"/>
        <w:ind w:firstLine="56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授权的代理人：（签字）                  授权的代理人：（签字）</w:t>
      </w:r>
    </w:p>
    <w:p w14:paraId="24F01889">
      <w:pPr>
        <w:adjustRightInd w:val="0"/>
        <w:snapToGrid w:val="0"/>
        <w:spacing w:line="360" w:lineRule="auto"/>
        <w:ind w:firstLine="56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14:paraId="29E9F917">
      <w:pPr>
        <w:ind w:firstLine="525" w:firstLine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日期：                            </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日期：</w:t>
      </w:r>
    </w:p>
    <w:p w14:paraId="6C750EAF">
      <w:pPr>
        <w:ind w:firstLine="630" w:firstLineChars="300"/>
        <w:rPr>
          <w:color w:val="000000" w:themeColor="text1"/>
          <w:szCs w:val="21"/>
          <w14:textFill>
            <w14:solidFill>
              <w14:schemeClr w14:val="tx1"/>
            </w14:solidFill>
          </w14:textFill>
        </w:rPr>
        <w:sectPr>
          <w:footerReference r:id="rId7" w:type="default"/>
          <w:pgSz w:w="11910" w:h="16840"/>
          <w:pgMar w:top="1418" w:right="1440" w:bottom="1418" w:left="1440" w:header="0" w:footer="993" w:gutter="0"/>
          <w:pgBorders>
            <w:top w:val="none" w:sz="0" w:space="0"/>
            <w:left w:val="none" w:sz="0" w:space="0"/>
            <w:bottom w:val="none" w:sz="0" w:space="0"/>
            <w:right w:val="none" w:sz="0" w:space="0"/>
          </w:pgBorders>
          <w:pgNumType w:fmt="decimal"/>
          <w:cols w:space="720" w:num="1"/>
        </w:sectPr>
      </w:pPr>
    </w:p>
    <w:p w14:paraId="5FF5A3A5">
      <w:pPr>
        <w:pStyle w:val="3"/>
        <w:pageBreakBefore w:val="0"/>
        <w:widowControl w:val="0"/>
        <w:kinsoku/>
        <w:wordWrap/>
        <w:overflowPunct/>
        <w:topLinePunct w:val="0"/>
        <w:autoSpaceDE/>
        <w:autoSpaceDN/>
        <w:bidi w:val="0"/>
        <w:adjustRightInd/>
        <w:snapToGrid/>
        <w:spacing w:before="0" w:after="0" w:line="360" w:lineRule="auto"/>
        <w:ind w:left="0" w:leftChars="0"/>
        <w:textAlignment w:val="auto"/>
        <w:rPr>
          <w:color w:val="000000" w:themeColor="text1"/>
          <w14:textFill>
            <w14:solidFill>
              <w14:schemeClr w14:val="tx1"/>
            </w14:solidFill>
          </w14:textFill>
        </w:rPr>
      </w:pPr>
      <w:bookmarkStart w:id="422" w:name="_Toc151229428"/>
      <w:r>
        <w:rPr>
          <w:b w:val="0"/>
          <w:bCs w:val="0"/>
          <w:color w:val="000000" w:themeColor="text1"/>
          <w14:textFill>
            <w14:solidFill>
              <w14:schemeClr w14:val="tx1"/>
            </w14:solidFill>
          </w14:textFill>
        </w:rPr>
        <w:t>第五章  采购需求</w:t>
      </w:r>
      <w:bookmarkEnd w:id="418"/>
      <w:bookmarkEnd w:id="422"/>
    </w:p>
    <w:p w14:paraId="6EC3110C">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jc w:val="both"/>
        <w:textAlignment w:val="auto"/>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pPr>
      <w:bookmarkStart w:id="423" w:name="_Toc200556352"/>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1.项目背景</w:t>
      </w:r>
      <w:bookmarkEnd w:id="423"/>
    </w:p>
    <w:p w14:paraId="6F26229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为深入贯彻国家乡村振兴战略与水环境治理要求，大丰区城镇净水有限公司以城建集团数字化转型为契机，加快推进信息化建设，致力于构建 “云、网、数、端、应用” 五位一体的智能化运维体系。依托既有农村污水智慧管理平台的实践成果，锚定应用深化、数据智能、物联感知、空间赋能和数字孪生五大核心场景，启动平台升级改造工程。通过打造运维自动化、分析智能化、数据可视化的管理新模式，进一步提升大丰区农村污水设施运维管理水平，全力塑造长三角地区农村污水治理智慧化示范标杆，为乡村生态环境建设注入数字化新动能。</w:t>
      </w:r>
    </w:p>
    <w:p w14:paraId="52F70CF3">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jc w:val="both"/>
        <w:textAlignment w:val="auto"/>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pPr>
      <w:bookmarkStart w:id="424" w:name="_Toc200556353"/>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2.项目目标</w:t>
      </w:r>
      <w:bookmarkEnd w:id="424"/>
    </w:p>
    <w:p w14:paraId="1BF31922">
      <w:pPr>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遵循“资产数字化、业务流程化、监管智能化、运营可视化”建设思路，围绕全区农村污水处理设施基础数据管理、设备运行监控、日常运维养护全周期，打造成深度应用、协同联动、一网统管的全要素平台，推进业务高效协同和管理创新，提升管理水平及治理能级。形成“精细化运营，集约化流程，智慧化监管，专业化模型”的总体建设目标。</w:t>
      </w:r>
    </w:p>
    <w:p w14:paraId="21A65B9F">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jc w:val="both"/>
        <w:textAlignment w:val="auto"/>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pPr>
      <w:bookmarkStart w:id="425" w:name="_Toc200556354"/>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3.建设内容</w:t>
      </w:r>
      <w:bookmarkEnd w:id="425"/>
    </w:p>
    <w:p w14:paraId="188F0E11">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pPr>
      <w:bookmarkStart w:id="426" w:name="_Toc200556355"/>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3.1功能新增与优化</w:t>
      </w:r>
      <w:bookmarkEnd w:id="426"/>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ab/>
      </w:r>
    </w:p>
    <w:p w14:paraId="703206C2">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Times New Roman"/>
          <w:b/>
          <w:bCs/>
          <w:color w:val="000000" w:themeColor="text1"/>
          <w:kern w:val="2"/>
          <w:sz w:val="21"/>
          <w:szCs w:val="21"/>
          <w:highlight w:val="cyan"/>
          <w:lang w:val="en-US" w:eastAsia="zh-CN" w:bidi="ar-SA"/>
          <w14:textFill>
            <w14:solidFill>
              <w14:schemeClr w14:val="tx1"/>
            </w14:solidFill>
          </w14:textFill>
        </w:rPr>
      </w:pPr>
      <w:bookmarkStart w:id="427" w:name="_Toc200556356"/>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3.1.1业务流程优化</w:t>
      </w:r>
      <w:bookmarkEnd w:id="427"/>
    </w:p>
    <w:p w14:paraId="20E2E06D">
      <w:pPr>
        <w:pStyle w:val="161"/>
        <w:pageBreakBefore w:val="0"/>
        <w:widowControl w:val="0"/>
        <w:numPr>
          <w:ilvl w:val="0"/>
          <w:numId w:val="0"/>
        </w:numPr>
        <w:kinsoku/>
        <w:wordWrap/>
        <w:overflowPunct/>
        <w:topLinePunct w:val="0"/>
        <w:autoSpaceDE/>
        <w:autoSpaceDN/>
        <w:bidi w:val="0"/>
        <w:adjustRightInd/>
        <w:snapToGrid/>
        <w:spacing w:line="360" w:lineRule="auto"/>
        <w:ind w:left="-42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①取消线路管理与任务管理功能，解除人员与任务的绑定，避免因人事变动和休假对任务管理的调整，减少基础管理工作量，以实际巡检次数和覆盖率为绩效考核项；</w:t>
      </w:r>
    </w:p>
    <w:p w14:paraId="40A3AB68">
      <w:pPr>
        <w:pStyle w:val="161"/>
        <w:pageBreakBefore w:val="0"/>
        <w:widowControl w:val="0"/>
        <w:numPr>
          <w:ilvl w:val="0"/>
          <w:numId w:val="0"/>
        </w:numPr>
        <w:kinsoku/>
        <w:wordWrap/>
        <w:overflowPunct/>
        <w:topLinePunct w:val="0"/>
        <w:autoSpaceDE/>
        <w:autoSpaceDN/>
        <w:bidi w:val="0"/>
        <w:adjustRightInd/>
        <w:snapToGrid/>
        <w:spacing w:line="360" w:lineRule="auto"/>
        <w:ind w:left="-42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②增加接单环节、退回整改环节、审核归档环节，增加问题事件风险等级管理管理功能，增加派单环节的维修处置完成时间约束功能。调整后业务流程图如下：</w:t>
      </w:r>
    </w:p>
    <w:p w14:paraId="63CF4B20">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pPr>
      <w:bookmarkStart w:id="428" w:name="_Toc200556357"/>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3.1.2智能消息推送</w:t>
      </w:r>
      <w:bookmarkEnd w:id="428"/>
    </w:p>
    <w:p w14:paraId="4CF23A0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 xml:space="preserve">增加短消息推送功能，应用于平台登录短信验证、新任务短信提醒、任务超时短信提醒、监控预警短信提醒、会议通知短信提醒。 </w:t>
      </w:r>
    </w:p>
    <w:p w14:paraId="349E604D">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pPr>
      <w:bookmarkStart w:id="429" w:name="_Toc200556358"/>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3.1.3物联网卡管理</w:t>
      </w:r>
      <w:bookmarkEnd w:id="429"/>
    </w:p>
    <w:p w14:paraId="4CC5FD63">
      <w:pPr>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新增物联网卡管理功能，用于物联网卡基础信息登记、设备卡号发放绑定、设备与卡号双线查询。</w:t>
      </w:r>
    </w:p>
    <w:p w14:paraId="7D7C4A27">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pPr>
      <w:bookmarkStart w:id="430" w:name="_Toc200556359"/>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3.1.4设施运维导航</w:t>
      </w:r>
      <w:bookmarkEnd w:id="430"/>
    </w:p>
    <w:p w14:paraId="43AD2310">
      <w:pPr>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新增小程序端污水处理设施运维导航功能，用于具体设施位置和交通导航，通过调用跳转第三方导航软件实现。</w:t>
      </w:r>
    </w:p>
    <w:p w14:paraId="26C8FE2D">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pPr>
      <w:bookmarkStart w:id="431" w:name="_Toc200556360"/>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3.1.5用户登录认证</w:t>
      </w:r>
      <w:bookmarkEnd w:id="431"/>
    </w:p>
    <w:p w14:paraId="592EA444">
      <w:pPr>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深化用户登录认证功能，新增短信验证码和个人微信绑定功能，提升系统登录便捷性和安全性。</w:t>
      </w:r>
    </w:p>
    <w:p w14:paraId="1050848A">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pPr>
      <w:bookmarkStart w:id="432" w:name="_Toc200556361"/>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3.1.6环节时效管理</w:t>
      </w:r>
      <w:bookmarkEnd w:id="432"/>
    </w:p>
    <w:p w14:paraId="0C04A5DD">
      <w:pPr>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新增问题事件处置环节自定义时效管理功能，管理员可通过时效管理工具，自定义派单、接单、处置、审核、整改、归档等环节的处理时效，为任务超时提醒和绩效管理提供支撑。</w:t>
      </w:r>
    </w:p>
    <w:p w14:paraId="14F6C4F4">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pPr>
      <w:bookmarkStart w:id="433" w:name="_Toc200556362"/>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4大数据智能化应用</w:t>
      </w:r>
      <w:bookmarkEnd w:id="433"/>
    </w:p>
    <w:p w14:paraId="02839D93">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pPr>
      <w:bookmarkStart w:id="434" w:name="_Toc200556363"/>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4.1数据预处理</w:t>
      </w:r>
      <w:bookmarkEnd w:id="434"/>
    </w:p>
    <w:p w14:paraId="06E0617B">
      <w:pPr>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对需要大数据应用的平台内部和外部生产数据进行归集、清洗、集成、转换、脱敏、存储。提升数据质量、可用性和应用效率。</w:t>
      </w:r>
    </w:p>
    <w:p w14:paraId="2C95FBEE">
      <w:pPr>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内部数据包括：设施设备基础数据、设施设备运行数据、巡检养护维修数据、地理空间、组织人员等；</w:t>
      </w:r>
    </w:p>
    <w:p w14:paraId="664EF630">
      <w:pPr>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外部数据包括：时间、天气及其它第三方平台数据。</w:t>
      </w:r>
    </w:p>
    <w:p w14:paraId="0A664999">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pPr>
      <w:bookmarkStart w:id="435" w:name="_Toc200556364"/>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4.2数据衍生模型</w:t>
      </w:r>
      <w:bookmarkEnd w:id="435"/>
    </w:p>
    <w:p w14:paraId="70937BCE">
      <w:pPr>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在实际应用中单个元数据无法直接使用时，需要建立数据衍生计算模型，对多个元数据进行计算、聚合、过滤、转换得到二次加工后衍生数据，以提高整体运算和展示效率，为大数据看板、智能预警模型、业务开展、决策辅助提供高效的数据支撑。</w:t>
      </w:r>
    </w:p>
    <w:p w14:paraId="439A97E1">
      <w:pPr>
        <w:pStyle w:val="161"/>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①分时水量模型：将不同通讯协议、不同上报周期的累计处理水量处理成按小时为单元的时序分时水量数据，并通过专题表存储备用。</w:t>
      </w:r>
    </w:p>
    <w:p w14:paraId="2A71A54B">
      <w:pPr>
        <w:pStyle w:val="161"/>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②分时电量模型：将不同通讯协议、不同上报周期的累计用电量处理以小时为单元的时序分时电量数据。并通过专题表存储备用。</w:t>
      </w:r>
    </w:p>
    <w:p w14:paraId="15809C8C">
      <w:pPr>
        <w:pStyle w:val="161"/>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③终端负荷率模型：将不同处理功率的微动力处理终端运行负荷转换为统一的运行负荷率。并通过专题表存储备用。</w:t>
      </w:r>
    </w:p>
    <w:p w14:paraId="3B2060BC">
      <w:pPr>
        <w:pStyle w:val="161"/>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④泵站负荷率模型：将不同功率的提升泵站运行负荷数据处理成统一的运行负荷率。并通过专题表存储备用。</w:t>
      </w:r>
    </w:p>
    <w:p w14:paraId="41D211DE">
      <w:pPr>
        <w:pStyle w:val="161"/>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⑤超时停车模型：将车辆GPS坐标变化信息和时间变化信息，处理提取停车时长数据，并通过专题表存储备用。</w:t>
      </w:r>
    </w:p>
    <w:p w14:paraId="6A1FA682">
      <w:pPr>
        <w:pStyle w:val="161"/>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⑥超速行驶模型：将车辆GPS坐标变化信息和时间变化信息处理提取车辆行驶速度数据，并通过专题表存储备用。</w:t>
      </w:r>
    </w:p>
    <w:p w14:paraId="007147E9">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pPr>
      <w:bookmarkStart w:id="436" w:name="_Toc200556365"/>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4.3智能预警模型</w:t>
      </w:r>
      <w:bookmarkEnd w:id="436"/>
    </w:p>
    <w:p w14:paraId="4801CDFA">
      <w:pPr>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依托各类平台数据，通过算法，建立智能预警模型，为问题发现、自动工单、数据展示和辅助决策提供消息和数据支撑。</w:t>
      </w:r>
    </w:p>
    <w:p w14:paraId="33B93E24">
      <w:pPr>
        <w:pStyle w:val="161"/>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①人员闯入预警：利用视频监控设备，每日对设备视频影像进行轮巡抽帧影像AI识别，外部人员非法闯入进行识别并预警，并可一键生成工单。</w:t>
      </w:r>
    </w:p>
    <w:p w14:paraId="4F308A58">
      <w:pPr>
        <w:pStyle w:val="161"/>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②设备离线预警：对24小时内连续掉线3次以上的物联网传感设备和视频监控设备进行识别和预警，并可一键生成工单。</w:t>
      </w:r>
    </w:p>
    <w:p w14:paraId="49845434">
      <w:pPr>
        <w:pStyle w:val="161"/>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③车辆违规预警：对工作时间段内车辆停放超过1小时以上的车辆进行识别和预警。对行驶过程中超速车辆进行识别和预警。并可一键生成备案。</w:t>
      </w:r>
    </w:p>
    <w:p w14:paraId="34851B85">
      <w:pPr>
        <w:pStyle w:val="161"/>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④水量异常预警：对超过处理功率的出水量和设备运行无出水的处理终端进行预警，并可一键生成工单。</w:t>
      </w:r>
    </w:p>
    <w:p w14:paraId="5BC704EF">
      <w:pPr>
        <w:pStyle w:val="161"/>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⑤电量异常预警：对超过处理功率的用电量和设备不运行产生的电量进行预警，并可一键生成工单。</w:t>
      </w:r>
    </w:p>
    <w:p w14:paraId="627BBEE9">
      <w:pPr>
        <w:pStyle w:val="161"/>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⑥风机异常预警：对超过24小时不运行的风机和运行超过24小时的风机进行平台预警，并可一键生成工单。</w:t>
      </w:r>
    </w:p>
    <w:p w14:paraId="76585650">
      <w:pPr>
        <w:pStyle w:val="161"/>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⑦水泵异常预警：对超过7天不运行的水泵和超过12小时运行的水泵进行平台预警，并可一键生成工单。</w:t>
      </w:r>
    </w:p>
    <w:p w14:paraId="5B0B4F0C">
      <w:pPr>
        <w:pStyle w:val="161"/>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⑧任务超时预警：对各环节超过既定处理实现的任务，进行平台预警，并通过短信方式推送给环节责任人。</w:t>
      </w:r>
    </w:p>
    <w:p w14:paraId="1B2753C7">
      <w:pPr>
        <w:pStyle w:val="161"/>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⑨高风险事件预警：对平台上报的高风险事件进行平台预警，并通过短信的方式推送给业务负责人。</w:t>
      </w:r>
    </w:p>
    <w:p w14:paraId="2D995290">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pPr>
      <w:bookmarkStart w:id="437" w:name="_Toc200556366"/>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4.4多维分析模型</w:t>
      </w:r>
      <w:bookmarkEnd w:id="437"/>
    </w:p>
    <w:p w14:paraId="036AC89E">
      <w:pPr>
        <w:pStyle w:val="161"/>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①水电背离分析模型：通过时序处理水量、用电量，计算水电能耗比，可查看处理水量时和用电序变化情况，通过水电能耗比和背离量分析全局/区域/具体站点的一定时间范围的变化情况。</w:t>
      </w:r>
    </w:p>
    <w:p w14:paraId="73D91403">
      <w:pPr>
        <w:pStyle w:val="16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840" w:firstLineChars="4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②运营绩效分析模型：将设施完好率、设备良好率、监控在线率、巡检达标率、处置达标率、能耗达标率，六大核心运营指标，转化为统一标准，分配权重，建立雷达图模型，分析总体运营的状态、优势和短板。</w:t>
      </w:r>
    </w:p>
    <w:p w14:paraId="452702AC">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pPr>
      <w:bookmarkStart w:id="438" w:name="_Toc200556367"/>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4.5大数据动态看板</w:t>
      </w:r>
      <w:bookmarkEnd w:id="438"/>
    </w:p>
    <w:p w14:paraId="0E5EC6E8">
      <w:pPr>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大屏数据看板升级，利用清洗后的数据进行智能化计算、分析和展示，布局合理、逻辑清晰、数字与图表结合表现、数据颗粒度可调、外观美观大气、能够与行政区划和GIS互动交互和下钻展示，主要包括以下板块和内容。</w:t>
      </w:r>
    </w:p>
    <w:tbl>
      <w:tblPr>
        <w:tblStyle w:val="49"/>
        <w:tblW w:w="8803" w:type="dxa"/>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7377"/>
      </w:tblGrid>
      <w:tr w14:paraId="5B8C4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26" w:type="dxa"/>
            <w:vAlign w:val="center"/>
          </w:tcPr>
          <w:p w14:paraId="3C9AE56F">
            <w:pPr>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板块</w:t>
            </w:r>
          </w:p>
        </w:tc>
        <w:tc>
          <w:tcPr>
            <w:tcW w:w="7377" w:type="dxa"/>
            <w:vAlign w:val="center"/>
          </w:tcPr>
          <w:p w14:paraId="256E118F">
            <w:pPr>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展示内容</w:t>
            </w:r>
          </w:p>
        </w:tc>
      </w:tr>
      <w:tr w14:paraId="2FC5F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26" w:type="dxa"/>
            <w:vAlign w:val="center"/>
          </w:tcPr>
          <w:p w14:paraId="25F23187">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设施概况</w:t>
            </w:r>
          </w:p>
        </w:tc>
        <w:tc>
          <w:tcPr>
            <w:tcW w:w="7377" w:type="dxa"/>
            <w:vAlign w:val="center"/>
          </w:tcPr>
          <w:p w14:paraId="6C9357D6">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处理终端数（个）、提升泵站数（个）、管网长度（km）、窨井数（个）</w:t>
            </w:r>
          </w:p>
        </w:tc>
      </w:tr>
      <w:tr w14:paraId="7DE9A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426" w:type="dxa"/>
            <w:vAlign w:val="center"/>
          </w:tcPr>
          <w:p w14:paraId="3484BF89">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服务能力</w:t>
            </w:r>
          </w:p>
        </w:tc>
        <w:tc>
          <w:tcPr>
            <w:tcW w:w="7377" w:type="dxa"/>
            <w:vAlign w:val="center"/>
          </w:tcPr>
          <w:p w14:paraId="2F391569">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设施覆盖率（%）、日处理能力（吨）、服务村庄数（个）、服务家庭数（户）</w:t>
            </w:r>
          </w:p>
        </w:tc>
      </w:tr>
      <w:tr w14:paraId="7DCE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426" w:type="dxa"/>
            <w:vAlign w:val="center"/>
          </w:tcPr>
          <w:p w14:paraId="16D1B550">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设备监控</w:t>
            </w:r>
          </w:p>
        </w:tc>
        <w:tc>
          <w:tcPr>
            <w:tcW w:w="7377" w:type="dxa"/>
            <w:vAlign w:val="center"/>
          </w:tcPr>
          <w:p w14:paraId="2BA9A975">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泵站监控：在线（台）、不在线（台）、长期不在线（台）、在线率（%）；</w:t>
            </w:r>
          </w:p>
          <w:p w14:paraId="27014B47">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终端监控：在线（台）、不在线（台）、长期不在线（台）、在线率（%）</w:t>
            </w:r>
          </w:p>
          <w:p w14:paraId="5E1A38DF">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视频监控：在线（台）、不在线（台）、长期不在线（台）、在线率（%）；</w:t>
            </w:r>
          </w:p>
          <w:p w14:paraId="77608483">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车辆监控：在线（台）、不在线（台）、长期不在线（台）、在线率（%）；</w:t>
            </w:r>
          </w:p>
        </w:tc>
      </w:tr>
      <w:tr w14:paraId="60FB3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26" w:type="dxa"/>
            <w:vAlign w:val="center"/>
          </w:tcPr>
          <w:p w14:paraId="0297D1D2">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运行监控</w:t>
            </w:r>
          </w:p>
        </w:tc>
        <w:tc>
          <w:tcPr>
            <w:tcW w:w="7377" w:type="dxa"/>
            <w:vAlign w:val="center"/>
          </w:tcPr>
          <w:p w14:paraId="59652C0B">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处理水量（吨）、用电量（度）、终端负荷（%）、泵站负荷（%）</w:t>
            </w:r>
          </w:p>
        </w:tc>
      </w:tr>
      <w:tr w14:paraId="6B10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26" w:type="dxa"/>
            <w:vAlign w:val="center"/>
          </w:tcPr>
          <w:p w14:paraId="03E82AD2">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运行分析</w:t>
            </w:r>
          </w:p>
        </w:tc>
        <w:tc>
          <w:tcPr>
            <w:tcW w:w="7377" w:type="dxa"/>
            <w:vAlign w:val="center"/>
          </w:tcPr>
          <w:p w14:paraId="6201E56B">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水量时序曲线、电量时序曲线、水电能耗比背离分析</w:t>
            </w:r>
          </w:p>
        </w:tc>
      </w:tr>
      <w:tr w14:paraId="387AF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26" w:type="dxa"/>
            <w:vAlign w:val="center"/>
          </w:tcPr>
          <w:p w14:paraId="0626D946">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智能预警</w:t>
            </w:r>
          </w:p>
        </w:tc>
        <w:tc>
          <w:tcPr>
            <w:tcW w:w="7377" w:type="dxa"/>
            <w:vAlign w:val="center"/>
          </w:tcPr>
          <w:p w14:paraId="159A068F">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水量异常（件）、电量异常（件）、风机异常（件）、水泵异常（件）</w:t>
            </w:r>
          </w:p>
        </w:tc>
      </w:tr>
      <w:tr w14:paraId="4036D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26" w:type="dxa"/>
            <w:vAlign w:val="center"/>
          </w:tcPr>
          <w:p w14:paraId="0B896792">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人员配备</w:t>
            </w:r>
          </w:p>
        </w:tc>
        <w:tc>
          <w:tcPr>
            <w:tcW w:w="7377" w:type="dxa"/>
            <w:vAlign w:val="center"/>
          </w:tcPr>
          <w:p w14:paraId="3F1EC7C6">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管理小组（人）、巡检小组（人）、维修小组（人）、专家小组（人），二级列表（姓名、单位、分工、联系电话）</w:t>
            </w:r>
          </w:p>
        </w:tc>
      </w:tr>
      <w:tr w14:paraId="2E4D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426" w:type="dxa"/>
            <w:vAlign w:val="center"/>
          </w:tcPr>
          <w:p w14:paraId="46F5E63C">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运维情况</w:t>
            </w:r>
          </w:p>
        </w:tc>
        <w:tc>
          <w:tcPr>
            <w:tcW w:w="7377" w:type="dxa"/>
            <w:vAlign w:val="center"/>
          </w:tcPr>
          <w:p w14:paraId="79A4907F">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日常巡检（次）、常规养护（次）、问题上报（件）、任务派单（件）、维修处置（件）、退回整改（件）、结案归档（件）</w:t>
            </w:r>
          </w:p>
        </w:tc>
      </w:tr>
      <w:tr w14:paraId="6BF83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426" w:type="dxa"/>
            <w:vAlign w:val="center"/>
          </w:tcPr>
          <w:p w14:paraId="1B8ABA2C">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绩效管理</w:t>
            </w:r>
          </w:p>
        </w:tc>
        <w:tc>
          <w:tcPr>
            <w:tcW w:w="7377" w:type="dxa"/>
            <w:vAlign w:val="center"/>
          </w:tcPr>
          <w:p w14:paraId="4978524B">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遗漏巡检（次）、派单超时、接单超时、处置超时、退回整改、行车超速、停车超时</w:t>
            </w:r>
          </w:p>
          <w:p w14:paraId="7A5AD28C">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工作排名TOP5(排名、姓名、绩效得分)、平均响应时长（小时）、平均处置时长（小时）。</w:t>
            </w:r>
          </w:p>
        </w:tc>
      </w:tr>
      <w:tr w14:paraId="5F91D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426" w:type="dxa"/>
            <w:vAlign w:val="center"/>
          </w:tcPr>
          <w:p w14:paraId="5BC9EDBE">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风险管理</w:t>
            </w:r>
          </w:p>
        </w:tc>
        <w:tc>
          <w:tcPr>
            <w:tcW w:w="7377" w:type="dxa"/>
            <w:vAlign w:val="center"/>
          </w:tcPr>
          <w:p w14:paraId="4C057E2A">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高风险（件）、中风险（件）、低风险（件），多发问题TOP5(问题名称+件数+处置状态)</w:t>
            </w:r>
          </w:p>
        </w:tc>
      </w:tr>
      <w:tr w14:paraId="24AD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426" w:type="dxa"/>
            <w:vAlign w:val="center"/>
          </w:tcPr>
          <w:p w14:paraId="7D5B4C23">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年度运营</w:t>
            </w:r>
          </w:p>
        </w:tc>
        <w:tc>
          <w:tcPr>
            <w:tcW w:w="7377" w:type="dxa"/>
            <w:vAlign w:val="center"/>
          </w:tcPr>
          <w:p w14:paraId="7250D598">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累计巡检、累计养护、累计发现、累计处置、累计结案、平均响应时长、平均处置时长</w:t>
            </w:r>
          </w:p>
        </w:tc>
      </w:tr>
    </w:tbl>
    <w:p w14:paraId="1F2F657A">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pPr>
      <w:bookmarkStart w:id="439" w:name="_Toc200556368"/>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5.物联网设备整合</w:t>
      </w:r>
      <w:bookmarkEnd w:id="439"/>
    </w:p>
    <w:p w14:paraId="6EE01CDA">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pPr>
      <w:bookmarkStart w:id="440" w:name="_Toc200556369"/>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5.1视频监控整合</w:t>
      </w:r>
      <w:bookmarkEnd w:id="440"/>
    </w:p>
    <w:p w14:paraId="3F76D71E">
      <w:pPr>
        <w:pStyle w:val="161"/>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①接口开发</w:t>
      </w:r>
    </w:p>
    <w:p w14:paraId="4F6D655A">
      <w:pPr>
        <w:pStyle w:val="161"/>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根据第三方视频监控平台开放平台接口API，开发对应对接功能，实现4G摄像头的能力接入，包括视频调用、视频录制、截屏、设备在线情况等。</w:t>
      </w:r>
    </w:p>
    <w:p w14:paraId="1AD727BE">
      <w:pPr>
        <w:pStyle w:val="161"/>
        <w:pageBreakBefore w:val="0"/>
        <w:widowControl w:val="0"/>
        <w:numPr>
          <w:ilvl w:val="0"/>
          <w:numId w:val="0"/>
        </w:numPr>
        <w:kinsoku/>
        <w:wordWrap/>
        <w:overflowPunct/>
        <w:topLinePunct w:val="0"/>
        <w:autoSpaceDE/>
        <w:autoSpaceDN/>
        <w:bidi w:val="0"/>
        <w:adjustRightInd/>
        <w:snapToGrid/>
        <w:spacing w:line="360" w:lineRule="auto"/>
        <w:ind w:left="-36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②设备接入</w:t>
      </w:r>
    </w:p>
    <w:p w14:paraId="1A9BB813">
      <w:pPr>
        <w:pStyle w:val="161"/>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完成500台存量处理终端及泵站视频监控整合上线</w:t>
      </w:r>
      <w:r>
        <w:rPr>
          <w:rFonts w:hint="eastAsia" w:ascii="宋体" w:hAnsi="宋体" w:cs="Times New Roman"/>
          <w:b w:val="0"/>
          <w:bCs w:val="0"/>
          <w:color w:val="000000" w:themeColor="text1"/>
          <w:kern w:val="2"/>
          <w:sz w:val="21"/>
          <w:szCs w:val="21"/>
          <w:lang w:val="en-US" w:eastAsia="zh-CN" w:bidi="ar-SA"/>
          <w14:textFill>
            <w14:solidFill>
              <w14:schemeClr w14:val="tx1"/>
            </w14:solidFill>
          </w14:textFill>
        </w:rPr>
        <w:t>（甲方可依据实际需求适当调整，不因此增加费用，相关费用由乙方自行考虑）</w:t>
      </w: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w:t>
      </w:r>
    </w:p>
    <w:p w14:paraId="79BF4644">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pPr>
      <w:bookmarkStart w:id="441" w:name="_Toc200556370"/>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5.2车辆监控整合</w:t>
      </w:r>
      <w:bookmarkEnd w:id="441"/>
    </w:p>
    <w:p w14:paraId="588CF09D">
      <w:pPr>
        <w:pStyle w:val="161"/>
        <w:pageBreakBefore w:val="0"/>
        <w:widowControl w:val="0"/>
        <w:numPr>
          <w:ilvl w:val="0"/>
          <w:numId w:val="0"/>
        </w:numPr>
        <w:kinsoku/>
        <w:wordWrap/>
        <w:overflowPunct/>
        <w:topLinePunct w:val="0"/>
        <w:autoSpaceDE/>
        <w:autoSpaceDN/>
        <w:bidi w:val="0"/>
        <w:adjustRightInd/>
        <w:snapToGrid/>
        <w:spacing w:line="360" w:lineRule="auto"/>
        <w:ind w:left="-36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①接口开发</w:t>
      </w:r>
    </w:p>
    <w:p w14:paraId="76569155">
      <w:pPr>
        <w:pStyle w:val="161"/>
        <w:pageBreakBefore w:val="0"/>
        <w:widowControl w:val="0"/>
        <w:kinsoku/>
        <w:wordWrap/>
        <w:overflowPunct/>
        <w:topLinePunct w:val="0"/>
        <w:autoSpaceDE/>
        <w:autoSpaceDN/>
        <w:bidi w:val="0"/>
        <w:adjustRightInd/>
        <w:snapToGrid/>
        <w:spacing w:line="360" w:lineRule="auto"/>
        <w:ind w:left="0" w:leftChars="0" w:firstLine="56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根据第三方车辆GPS监控开放平台接口API，开发对应对接功能，实现车辆监控能力的接入，包括GPS定位、车辆启停、行驶距离、速度、轨迹信息等。</w:t>
      </w:r>
    </w:p>
    <w:p w14:paraId="1521CB87">
      <w:pPr>
        <w:pStyle w:val="161"/>
        <w:pageBreakBefore w:val="0"/>
        <w:widowControl w:val="0"/>
        <w:numPr>
          <w:ilvl w:val="0"/>
          <w:numId w:val="0"/>
        </w:numPr>
        <w:kinsoku/>
        <w:wordWrap/>
        <w:overflowPunct/>
        <w:topLinePunct w:val="0"/>
        <w:autoSpaceDE/>
        <w:autoSpaceDN/>
        <w:bidi w:val="0"/>
        <w:adjustRightInd/>
        <w:snapToGrid/>
        <w:spacing w:line="360" w:lineRule="auto"/>
        <w:ind w:left="-36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②设备接入及调试</w:t>
      </w:r>
    </w:p>
    <w:p w14:paraId="655A2601">
      <w:pPr>
        <w:pStyle w:val="161"/>
        <w:pageBreakBefore w:val="0"/>
        <w:widowControl w:val="0"/>
        <w:kinsoku/>
        <w:wordWrap/>
        <w:overflowPunct/>
        <w:topLinePunct w:val="0"/>
        <w:autoSpaceDE/>
        <w:autoSpaceDN/>
        <w:bidi w:val="0"/>
        <w:adjustRightInd/>
        <w:snapToGrid/>
        <w:spacing w:line="360" w:lineRule="auto"/>
        <w:ind w:left="0" w:leftChars="0" w:firstLine="56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完成6台运维车辆GPS定位模块的安装及数据整合上线。</w:t>
      </w:r>
    </w:p>
    <w:p w14:paraId="75DE6D23">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pPr>
      <w:bookmarkStart w:id="442" w:name="_Toc200556371"/>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5.3泵站监控整合</w:t>
      </w:r>
      <w:bookmarkEnd w:id="442"/>
    </w:p>
    <w:p w14:paraId="27801EA5">
      <w:pPr>
        <w:pStyle w:val="161"/>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完成200套提升泵站运行监控物联网设备的整合</w:t>
      </w:r>
      <w:r>
        <w:rPr>
          <w:rFonts w:hint="eastAsia" w:ascii="宋体" w:hAnsi="宋体" w:cs="Times New Roman"/>
          <w:b w:val="0"/>
          <w:bCs w:val="0"/>
          <w:color w:val="000000" w:themeColor="text1"/>
          <w:kern w:val="2"/>
          <w:sz w:val="21"/>
          <w:szCs w:val="21"/>
          <w:lang w:val="en-US" w:eastAsia="zh-CN" w:bidi="ar-SA"/>
          <w14:textFill>
            <w14:solidFill>
              <w14:schemeClr w14:val="tx1"/>
            </w14:solidFill>
          </w14:textFill>
        </w:rPr>
        <w:t>（甲方可依据实际需求适当调整，不因此增加费用，相关费用由乙方自行考虑）</w:t>
      </w: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w:t>
      </w:r>
    </w:p>
    <w:p w14:paraId="4FC3DCF5">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pPr>
      <w:bookmarkStart w:id="443" w:name="_Toc200556372"/>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5.4终端监控整合</w:t>
      </w:r>
      <w:bookmarkEnd w:id="443"/>
    </w:p>
    <w:p w14:paraId="32FC4F33">
      <w:pPr>
        <w:pStyle w:val="161"/>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完成500套微动力处理终端运行监控物联网设备的整合</w:t>
      </w:r>
      <w:r>
        <w:rPr>
          <w:rFonts w:hint="eastAsia" w:ascii="宋体" w:hAnsi="宋体" w:cs="Times New Roman"/>
          <w:b w:val="0"/>
          <w:bCs w:val="0"/>
          <w:color w:val="000000" w:themeColor="text1"/>
          <w:kern w:val="2"/>
          <w:sz w:val="21"/>
          <w:szCs w:val="21"/>
          <w:lang w:val="en-US" w:eastAsia="zh-CN" w:bidi="ar-SA"/>
          <w14:textFill>
            <w14:solidFill>
              <w14:schemeClr w14:val="tx1"/>
            </w14:solidFill>
          </w14:textFill>
        </w:rPr>
        <w:t>（甲方可依据实际需求适当调整，不因此增加费用，相关费用由乙方自行考虑）</w:t>
      </w: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w:t>
      </w:r>
    </w:p>
    <w:p w14:paraId="64584629">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t>5.</w:t>
      </w:r>
      <w:r>
        <w:rPr>
          <w:rFonts w:hint="eastAsia" w:ascii="宋体" w:hAnsi="宋体" w:cs="Times New Roman"/>
          <w:b/>
          <w:bCs/>
          <w:color w:val="000000" w:themeColor="text1"/>
          <w:kern w:val="2"/>
          <w:sz w:val="21"/>
          <w:szCs w:val="21"/>
          <w:highlight w:val="none"/>
          <w:lang w:val="en-US" w:eastAsia="zh-CN" w:bidi="ar-SA"/>
          <w14:textFill>
            <w14:solidFill>
              <w14:schemeClr w14:val="tx1"/>
            </w14:solidFill>
          </w14:textFill>
        </w:rPr>
        <w:t>5</w:t>
      </w:r>
      <w:r>
        <w:rPr>
          <w:rFonts w:hint="eastAsia" w:ascii="宋体" w:hAnsi="宋体" w:cs="Times New Roman"/>
          <w:b w:val="0"/>
          <w:bCs w:val="0"/>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甲方保留适度调整采购需求的权利，乙方应根据实际需求供货。</w:t>
      </w:r>
      <w:r>
        <w:rPr>
          <w:rFonts w:hint="eastAsia" w:ascii="宋体" w:hAnsi="宋体" w:cs="Times New Roman"/>
          <w:b w:val="0"/>
          <w:bCs w:val="0"/>
          <w:color w:val="000000" w:themeColor="text1"/>
          <w:kern w:val="2"/>
          <w:sz w:val="21"/>
          <w:szCs w:val="21"/>
          <w:highlight w:val="none"/>
          <w:lang w:val="en-US" w:eastAsia="zh-CN" w:bidi="ar-SA"/>
          <w14:textFill>
            <w14:solidFill>
              <w14:schemeClr w14:val="tx1"/>
            </w14:solidFill>
          </w14:textFill>
        </w:rPr>
        <w:t>）</w:t>
      </w:r>
    </w:p>
    <w:p w14:paraId="5DFB0689">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pPr>
      <w:bookmarkStart w:id="444" w:name="_Toc200556373"/>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6. GIS引擎与空间应用</w:t>
      </w:r>
      <w:bookmarkEnd w:id="444"/>
    </w:p>
    <w:p w14:paraId="06EE0D6F">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pPr>
      <w:bookmarkStart w:id="445" w:name="_Toc200556374"/>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6.1GIS引擎</w:t>
      </w:r>
      <w:bookmarkEnd w:id="445"/>
    </w:p>
    <w:p w14:paraId="4DC60A32">
      <w:pPr>
        <w:pStyle w:val="161"/>
        <w:pageBreakBefore w:val="0"/>
        <w:widowControl w:val="0"/>
        <w:kinsoku/>
        <w:wordWrap/>
        <w:overflowPunct/>
        <w:topLinePunct w:val="0"/>
        <w:autoSpaceDE/>
        <w:autoSpaceDN/>
        <w:bidi w:val="0"/>
        <w:adjustRightInd/>
        <w:snapToGrid/>
        <w:spacing w:line="360" w:lineRule="auto"/>
        <w:ind w:left="0" w:leftChars="0" w:firstLine="56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搭建二三维一体化GIS引擎，提供农村污水运营管理过程中人、事、物的地理空间应用支撑。</w:t>
      </w:r>
    </w:p>
    <w:p w14:paraId="763DF161">
      <w:pPr>
        <w:pStyle w:val="161"/>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①二维功能：支持矢量/栅格数据管理、专题图层发布、空间分析（缓冲区/叠加分析）、地图切片 服务（动态+预生成），满足多源数据的高效展示；</w:t>
      </w:r>
    </w:p>
    <w:p w14:paraId="0A92C676">
      <w:pPr>
        <w:pStyle w:val="161"/>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②三维功能： BIM模型集成能力、倾斜摄影数据建模能力，实现设施三维建模、空间分析（体积测量/视域分析），构建“地上地下一体化”数字底板；</w:t>
      </w:r>
    </w:p>
    <w:p w14:paraId="6C60F0C0">
      <w:pPr>
        <w:pStyle w:val="161"/>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③地图工具：提供测距、标绘、轨迹播放、热力图等实用工具，支持用户自定义空间操作。</w:t>
      </w:r>
    </w:p>
    <w:p w14:paraId="45D172A6">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pPr>
      <w:bookmarkStart w:id="446" w:name="_Toc200556375"/>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6.2 GIS应用</w:t>
      </w:r>
      <w:bookmarkEnd w:id="446"/>
    </w:p>
    <w:p w14:paraId="4AF15B6C">
      <w:pPr>
        <w:pStyle w:val="161"/>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①处理设施一张图：设施地图撒点、查询、定位。展开设施详情，一键生成工单，并可与设施运行情况、视频监控、历史工单关联，实现“位置-状态-业务”联动；</w:t>
      </w:r>
    </w:p>
    <w:p w14:paraId="15D519AA">
      <w:pPr>
        <w:pStyle w:val="161"/>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②运维事件一张图：事件地图撒点、定位。展开事件详情，并可与设施详情、运行情况、视频监控、历史工单关联，实现“位置-状态-业务”联动；</w:t>
      </w:r>
    </w:p>
    <w:p w14:paraId="36C5DE33">
      <w:pPr>
        <w:pStyle w:val="161"/>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③智能预警一张图：预警信息地图撒点、定位。展开预警信息，一键生成工单，并可与设施详情、运行情况、视频监控、历史工单关联，实现“位置-状态-业务”联动；</w:t>
      </w:r>
    </w:p>
    <w:p w14:paraId="0274C842">
      <w:pPr>
        <w:pStyle w:val="161"/>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④人员管理一张图：巡检人员动态撒点、定位、轨迹。实现人员位置的监管和人员调度辅助支撑。</w:t>
      </w:r>
    </w:p>
    <w:p w14:paraId="54D34B57">
      <w:pPr>
        <w:pStyle w:val="161"/>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⑤车辆管理一张图：巡检车辆动态撒点、定位、轨迹。实现车辆位置的监管和车辆调度辅助支撑。</w:t>
      </w:r>
    </w:p>
    <w:p w14:paraId="1AD7895F">
      <w:pPr>
        <w:pStyle w:val="161"/>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⑥视频监控一张图：视频监控撒点、查询、定位。查看监控视频，视频录制、截图操作、可一键生成工单，并可与站点详情、运行情况、历史工单关联，实现“位置-状态-业务”联动；</w:t>
      </w:r>
    </w:p>
    <w:p w14:paraId="3D09929B">
      <w:pPr>
        <w:pStyle w:val="161"/>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⑦管网拓扑绘制：管网拓扑试点，从排水户-窨井-支管网-提升泵站主管网-处理终端-河湖排放，基于竣工数据和测绘数据绘制管网设施点线图，直观展示管线路径、节点连接关系，为工程施工、问题分析、检查维修、应急管理提供支撑。</w:t>
      </w:r>
    </w:p>
    <w:p w14:paraId="14C508A3">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pPr>
      <w:bookmarkStart w:id="447" w:name="_Toc200556376"/>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7.数字孪生应用建设</w:t>
      </w:r>
      <w:bookmarkEnd w:id="447"/>
    </w:p>
    <w:p w14:paraId="03F9A440">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pPr>
      <w:bookmarkStart w:id="448" w:name="_Toc200556377"/>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7.1三维场景构建</w:t>
      </w:r>
      <w:bookmarkEnd w:id="448"/>
    </w:p>
    <w:p w14:paraId="0BED8843">
      <w:pPr>
        <w:pStyle w:val="161"/>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①基础场景：示范站点周边环境建模（含植被、水系、路网），纹理贴图、细节刻画，实现地形地貌环境的高精度还原；</w:t>
      </w:r>
    </w:p>
    <w:p w14:paraId="0E61AE17">
      <w:pPr>
        <w:pStyle w:val="161"/>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②设施仿真：构建示范站点围栏、电箱、窨井，终端、泵站上部建筑等设施设备模型，纹理贴图、细节刻画，实现设施设备结构的高精度还原。</w:t>
      </w:r>
    </w:p>
    <w:p w14:paraId="559B67D3">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pPr>
      <w:bookmarkStart w:id="449" w:name="_Toc200556378"/>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7.2工艺级防真应用</w:t>
      </w:r>
      <w:bookmarkEnd w:id="449"/>
    </w:p>
    <w:p w14:paraId="1CDBC3FC">
      <w:pPr>
        <w:pStyle w:val="161"/>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①全流程模拟：搭建“排水户-管网-泵站-处理终端-排放口”三维仿真链路，动态模拟污水收集、调度、处理、排放全过程运行；</w:t>
      </w:r>
    </w:p>
    <w:p w14:paraId="08E26883">
      <w:pPr>
        <w:pStyle w:val="161"/>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②设备级仿真：实时映射加药、曝气、风机、水泵运行状态，及各类仪表（流量、电量）状态等，支持在线巡检。</w:t>
      </w:r>
    </w:p>
    <w:p w14:paraId="6D45D926">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pPr>
      <w:bookmarkStart w:id="450" w:name="_Toc200556379"/>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7.3沉浸式渲染与交互</w:t>
      </w:r>
      <w:bookmarkEnd w:id="450"/>
    </w:p>
    <w:p w14:paraId="4B011492">
      <w:pPr>
        <w:pStyle w:val="161"/>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①视觉增强：地形地貌雕刻、天气模拟（晴雨雾）、时间流同步（24 小时光影变化），打造逼真虚拟场景；</w:t>
      </w:r>
    </w:p>
    <w:p w14:paraId="498A4F24">
      <w:pPr>
        <w:pStyle w:val="161"/>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②交互体验：支持第一/第三人称视角切换、多视角漫游、设备参数实时查询，提供沉浸式巡检体验。探索在线无人巡检。</w:t>
      </w:r>
    </w:p>
    <w:p w14:paraId="3BD7F346">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jc w:val="both"/>
        <w:textAlignment w:val="auto"/>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pPr>
      <w:bookmarkStart w:id="451" w:name="_Toc200556380"/>
      <w:r>
        <w:rPr>
          <w:rFonts w:hint="eastAsia" w:ascii="宋体" w:hAnsi="宋体" w:cs="Times New Roman"/>
          <w:b/>
          <w:bCs/>
          <w:color w:val="000000" w:themeColor="text1"/>
          <w:kern w:val="2"/>
          <w:sz w:val="21"/>
          <w:szCs w:val="21"/>
          <w:lang w:val="en-US" w:eastAsia="zh-CN" w:bidi="ar-SA"/>
          <w14:textFill>
            <w14:solidFill>
              <w14:schemeClr w14:val="tx1"/>
            </w14:solidFill>
          </w14:textFill>
        </w:rPr>
        <w:t>8</w:t>
      </w:r>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.运行环境建设</w:t>
      </w:r>
      <w:bookmarkEnd w:id="451"/>
    </w:p>
    <w:p w14:paraId="193DA81D">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本次项目平台运行环境建设由1台应用服务器和1台数据库服务器构成，应用服务器与数据库服务器通过内网通讯，采用购买第三方云服务器部署配置实现。此外具体配置要求如下：</w:t>
      </w:r>
    </w:p>
    <w:p w14:paraId="3F1B3C88">
      <w:pPr>
        <w:pStyle w:val="161"/>
        <w:pageBreakBefore w:val="0"/>
        <w:widowControl w:val="0"/>
        <w:numPr>
          <w:ilvl w:val="0"/>
          <w:numId w:val="7"/>
        </w:numPr>
        <w:kinsoku/>
        <w:wordWrap/>
        <w:overflowPunct/>
        <w:topLinePunct w:val="0"/>
        <w:autoSpaceDE/>
        <w:autoSpaceDN/>
        <w:bidi w:val="0"/>
        <w:adjustRightInd/>
        <w:snapToGrid/>
        <w:spacing w:line="360" w:lineRule="auto"/>
        <w:ind w:left="0" w:leftChars="0" w:firstLineChars="0"/>
        <w:textAlignment w:val="auto"/>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应用服务器</w:t>
      </w:r>
    </w:p>
    <w:p w14:paraId="26C48923">
      <w:pPr>
        <w:pStyle w:val="161"/>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Windows Server 2022数据中心版\4核\16G内存\5Mbps宽带\系统盘50GB\数据盘100GB\</w:t>
      </w:r>
    </w:p>
    <w:p w14:paraId="1EDCFD1F">
      <w:pPr>
        <w:pStyle w:val="161"/>
        <w:pageBreakBefore w:val="0"/>
        <w:widowControl w:val="0"/>
        <w:numPr>
          <w:ilvl w:val="0"/>
          <w:numId w:val="7"/>
        </w:numPr>
        <w:kinsoku/>
        <w:wordWrap/>
        <w:overflowPunct/>
        <w:topLinePunct w:val="0"/>
        <w:autoSpaceDE/>
        <w:autoSpaceDN/>
        <w:bidi w:val="0"/>
        <w:adjustRightInd/>
        <w:snapToGrid/>
        <w:spacing w:line="360" w:lineRule="auto"/>
        <w:ind w:left="0" w:leftChars="0" w:firstLineChars="0"/>
        <w:textAlignment w:val="auto"/>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数据库服务器</w:t>
      </w:r>
    </w:p>
    <w:p w14:paraId="59A6C857">
      <w:pPr>
        <w:pStyle w:val="161"/>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Mysql5.7\ 8G内存\数据盘100GB</w:t>
      </w:r>
    </w:p>
    <w:p w14:paraId="4325A46C">
      <w:pPr>
        <w:pStyle w:val="3"/>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0" w:leftChars="0"/>
        <w:jc w:val="both"/>
        <w:textAlignment w:val="auto"/>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日常运维及培训相关服务</w:t>
      </w:r>
    </w:p>
    <w:p w14:paraId="49A7B939">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9.1提供全面、系统的软件使用培训直至用户熟练应用</w:t>
      </w:r>
    </w:p>
    <w:p w14:paraId="07A73F21">
      <w:pPr>
        <w:pStyle w:val="193"/>
        <w:keepNext w:val="0"/>
        <w:keepLines w:val="0"/>
        <w:pageBreakBefore w:val="0"/>
        <w:widowControl w:val="0"/>
        <w:kinsoku/>
        <w:wordWrap/>
        <w:overflowPunct/>
        <w:topLinePunct w:val="0"/>
        <w:autoSpaceDE w:val="0"/>
        <w:autoSpaceDN w:val="0"/>
        <w:bidi w:val="0"/>
        <w:adjustRightInd/>
        <w:snapToGrid/>
        <w:spacing w:line="380" w:lineRule="atLeast"/>
        <w:ind w:right="57"/>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9.2故障响应时间短，系统异常故障，24小时内恢复系统正常运行。</w:t>
      </w:r>
    </w:p>
    <w:p w14:paraId="76B7E5C4">
      <w:pPr>
        <w:rPr>
          <w:rFonts w:hint="default"/>
          <w:color w:val="000000" w:themeColor="text1"/>
          <w:lang w:val="en-US" w:eastAsia="zh-CN"/>
          <w14:textFill>
            <w14:solidFill>
              <w14:schemeClr w14:val="tx1"/>
            </w14:solidFill>
          </w14:textFill>
        </w:rPr>
      </w:pPr>
    </w:p>
    <w:p w14:paraId="0EF94BE9">
      <w:pPr>
        <w:pStyle w:val="161"/>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p>
    <w:p w14:paraId="1AF4A654">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jc w:val="both"/>
        <w:textAlignment w:val="auto"/>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pPr>
    </w:p>
    <w:p w14:paraId="0CF869C0">
      <w:pPr>
        <w:rPr>
          <w:color w:val="000000" w:themeColor="text1"/>
          <w14:textFill>
            <w14:solidFill>
              <w14:schemeClr w14:val="tx1"/>
            </w14:solidFill>
          </w14:textFill>
        </w:rPr>
      </w:pPr>
    </w:p>
    <w:p w14:paraId="3251E74C">
      <w:pPr>
        <w:rPr>
          <w:color w:val="000000" w:themeColor="text1"/>
          <w14:textFill>
            <w14:solidFill>
              <w14:schemeClr w14:val="tx1"/>
            </w14:solidFill>
          </w14:textFill>
        </w:rPr>
      </w:pPr>
    </w:p>
    <w:p w14:paraId="7EF1D41E">
      <w:pPr>
        <w:rPr>
          <w:color w:val="000000" w:themeColor="text1"/>
          <w14:textFill>
            <w14:solidFill>
              <w14:schemeClr w14:val="tx1"/>
            </w14:solidFill>
          </w14:textFill>
        </w:rPr>
      </w:pPr>
    </w:p>
    <w:p w14:paraId="5C3D3EFE">
      <w:pPr>
        <w:rPr>
          <w:color w:val="000000" w:themeColor="text1"/>
          <w14:textFill>
            <w14:solidFill>
              <w14:schemeClr w14:val="tx1"/>
            </w14:solidFill>
          </w14:textFill>
        </w:rPr>
      </w:pPr>
    </w:p>
    <w:p w14:paraId="54702FA0">
      <w:pPr>
        <w:rPr>
          <w:color w:val="000000" w:themeColor="text1"/>
          <w14:textFill>
            <w14:solidFill>
              <w14:schemeClr w14:val="tx1"/>
            </w14:solidFill>
          </w14:textFill>
        </w:rPr>
      </w:pPr>
    </w:p>
    <w:p w14:paraId="1BDD4CAA">
      <w:pPr>
        <w:rPr>
          <w:color w:val="000000" w:themeColor="text1"/>
          <w14:textFill>
            <w14:solidFill>
              <w14:schemeClr w14:val="tx1"/>
            </w14:solidFill>
          </w14:textFill>
        </w:rPr>
      </w:pPr>
    </w:p>
    <w:p w14:paraId="62DE03EE">
      <w:pPr>
        <w:rPr>
          <w:color w:val="000000" w:themeColor="text1"/>
          <w14:textFill>
            <w14:solidFill>
              <w14:schemeClr w14:val="tx1"/>
            </w14:solidFill>
          </w14:textFill>
        </w:rPr>
      </w:pPr>
    </w:p>
    <w:p w14:paraId="02685A5B">
      <w:pPr>
        <w:rPr>
          <w:color w:val="000000" w:themeColor="text1"/>
          <w14:textFill>
            <w14:solidFill>
              <w14:schemeClr w14:val="tx1"/>
            </w14:solidFill>
          </w14:textFill>
        </w:rPr>
      </w:pPr>
    </w:p>
    <w:p w14:paraId="062B62A2">
      <w:pPr>
        <w:rPr>
          <w:color w:val="000000" w:themeColor="text1"/>
          <w14:textFill>
            <w14:solidFill>
              <w14:schemeClr w14:val="tx1"/>
            </w14:solidFill>
          </w14:textFill>
        </w:rPr>
      </w:pPr>
    </w:p>
    <w:p w14:paraId="3B249DB9">
      <w:pPr>
        <w:rPr>
          <w:color w:val="000000" w:themeColor="text1"/>
          <w14:textFill>
            <w14:solidFill>
              <w14:schemeClr w14:val="tx1"/>
            </w14:solidFill>
          </w14:textFill>
        </w:rPr>
      </w:pPr>
    </w:p>
    <w:p w14:paraId="7A294D48">
      <w:pPr>
        <w:rPr>
          <w:color w:val="000000" w:themeColor="text1"/>
          <w14:textFill>
            <w14:solidFill>
              <w14:schemeClr w14:val="tx1"/>
            </w14:solidFill>
          </w14:textFill>
        </w:rPr>
      </w:pPr>
    </w:p>
    <w:p w14:paraId="38A170DE">
      <w:pPr>
        <w:rPr>
          <w:color w:val="000000" w:themeColor="text1"/>
          <w14:textFill>
            <w14:solidFill>
              <w14:schemeClr w14:val="tx1"/>
            </w14:solidFill>
          </w14:textFill>
        </w:rPr>
      </w:pPr>
    </w:p>
    <w:p w14:paraId="25CB7ED9">
      <w:pPr>
        <w:rPr>
          <w:color w:val="000000" w:themeColor="text1"/>
          <w14:textFill>
            <w14:solidFill>
              <w14:schemeClr w14:val="tx1"/>
            </w14:solidFill>
          </w14:textFill>
        </w:rPr>
      </w:pPr>
    </w:p>
    <w:p w14:paraId="10D33979">
      <w:pPr>
        <w:rPr>
          <w:color w:val="000000" w:themeColor="text1"/>
          <w14:textFill>
            <w14:solidFill>
              <w14:schemeClr w14:val="tx1"/>
            </w14:solidFill>
          </w14:textFill>
        </w:rPr>
      </w:pPr>
    </w:p>
    <w:p w14:paraId="5B411CCF">
      <w:pPr>
        <w:rPr>
          <w:color w:val="000000" w:themeColor="text1"/>
          <w14:textFill>
            <w14:solidFill>
              <w14:schemeClr w14:val="tx1"/>
            </w14:solidFill>
          </w14:textFill>
        </w:rPr>
      </w:pPr>
    </w:p>
    <w:p w14:paraId="6C72B7CA">
      <w:pPr>
        <w:rPr>
          <w:color w:val="000000" w:themeColor="text1"/>
          <w14:textFill>
            <w14:solidFill>
              <w14:schemeClr w14:val="tx1"/>
            </w14:solidFill>
          </w14:textFill>
        </w:rPr>
      </w:pPr>
    </w:p>
    <w:p w14:paraId="34F982F9">
      <w:pPr>
        <w:rPr>
          <w:color w:val="000000" w:themeColor="text1"/>
          <w14:textFill>
            <w14:solidFill>
              <w14:schemeClr w14:val="tx1"/>
            </w14:solidFill>
          </w14:textFill>
        </w:rPr>
      </w:pPr>
    </w:p>
    <w:p w14:paraId="6614A0A2">
      <w:pPr>
        <w:rPr>
          <w:color w:val="000000" w:themeColor="text1"/>
          <w14:textFill>
            <w14:solidFill>
              <w14:schemeClr w14:val="tx1"/>
            </w14:solidFill>
          </w14:textFill>
        </w:rPr>
      </w:pPr>
    </w:p>
    <w:p w14:paraId="06134F2B">
      <w:pPr>
        <w:rPr>
          <w:color w:val="000000" w:themeColor="text1"/>
          <w14:textFill>
            <w14:solidFill>
              <w14:schemeClr w14:val="tx1"/>
            </w14:solidFill>
          </w14:textFill>
        </w:rPr>
      </w:pPr>
    </w:p>
    <w:p w14:paraId="6444FE34">
      <w:pPr>
        <w:rPr>
          <w:color w:val="000000" w:themeColor="text1"/>
          <w14:textFill>
            <w14:solidFill>
              <w14:schemeClr w14:val="tx1"/>
            </w14:solidFill>
          </w14:textFill>
        </w:rPr>
      </w:pPr>
    </w:p>
    <w:p w14:paraId="26D4DCA4">
      <w:pPr>
        <w:rPr>
          <w:color w:val="000000" w:themeColor="text1"/>
          <w14:textFill>
            <w14:solidFill>
              <w14:schemeClr w14:val="tx1"/>
            </w14:solidFill>
          </w14:textFill>
        </w:rPr>
      </w:pPr>
    </w:p>
    <w:p w14:paraId="1CBEB108">
      <w:pPr>
        <w:rPr>
          <w:color w:val="000000" w:themeColor="text1"/>
          <w14:textFill>
            <w14:solidFill>
              <w14:schemeClr w14:val="tx1"/>
            </w14:solidFill>
          </w14:textFill>
        </w:rPr>
      </w:pPr>
    </w:p>
    <w:p w14:paraId="55A58B48">
      <w:pPr>
        <w:rPr>
          <w:color w:val="000000" w:themeColor="text1"/>
          <w14:textFill>
            <w14:solidFill>
              <w14:schemeClr w14:val="tx1"/>
            </w14:solidFill>
          </w14:textFill>
        </w:rPr>
      </w:pPr>
    </w:p>
    <w:p w14:paraId="14DB371B">
      <w:pPr>
        <w:rPr>
          <w:color w:val="000000" w:themeColor="text1"/>
          <w14:textFill>
            <w14:solidFill>
              <w14:schemeClr w14:val="tx1"/>
            </w14:solidFill>
          </w14:textFill>
        </w:rPr>
      </w:pPr>
    </w:p>
    <w:p w14:paraId="0036DFBD">
      <w:pPr>
        <w:rPr>
          <w:color w:val="000000" w:themeColor="text1"/>
          <w14:textFill>
            <w14:solidFill>
              <w14:schemeClr w14:val="tx1"/>
            </w14:solidFill>
          </w14:textFill>
        </w:rPr>
      </w:pPr>
    </w:p>
    <w:p w14:paraId="2215F10D">
      <w:pPr>
        <w:rPr>
          <w:color w:val="000000" w:themeColor="text1"/>
          <w14:textFill>
            <w14:solidFill>
              <w14:schemeClr w14:val="tx1"/>
            </w14:solidFill>
          </w14:textFill>
        </w:rPr>
      </w:pPr>
    </w:p>
    <w:p w14:paraId="535BBB6A">
      <w:pPr>
        <w:rPr>
          <w:color w:val="000000" w:themeColor="text1"/>
          <w14:textFill>
            <w14:solidFill>
              <w14:schemeClr w14:val="tx1"/>
            </w14:solidFill>
          </w14:textFill>
        </w:rPr>
      </w:pPr>
    </w:p>
    <w:p w14:paraId="74853970">
      <w:pPr>
        <w:rPr>
          <w:color w:val="000000" w:themeColor="text1"/>
          <w14:textFill>
            <w14:solidFill>
              <w14:schemeClr w14:val="tx1"/>
            </w14:solidFill>
          </w14:textFill>
        </w:rPr>
      </w:pPr>
    </w:p>
    <w:p w14:paraId="7D790CA5">
      <w:pPr>
        <w:rPr>
          <w:color w:val="000000" w:themeColor="text1"/>
          <w14:textFill>
            <w14:solidFill>
              <w14:schemeClr w14:val="tx1"/>
            </w14:solidFill>
          </w14:textFill>
        </w:rPr>
      </w:pPr>
    </w:p>
    <w:p w14:paraId="090D6596">
      <w:pPr>
        <w:rPr>
          <w:color w:val="000000" w:themeColor="text1"/>
          <w14:textFill>
            <w14:solidFill>
              <w14:schemeClr w14:val="tx1"/>
            </w14:solidFill>
          </w14:textFill>
        </w:rPr>
      </w:pPr>
    </w:p>
    <w:p w14:paraId="6F8147D4">
      <w:pPr>
        <w:rPr>
          <w:color w:val="000000" w:themeColor="text1"/>
          <w14:textFill>
            <w14:solidFill>
              <w14:schemeClr w14:val="tx1"/>
            </w14:solidFill>
          </w14:textFill>
        </w:rPr>
      </w:pPr>
    </w:p>
    <w:p w14:paraId="722CA29A">
      <w:pPr>
        <w:tabs>
          <w:tab w:val="left" w:pos="6030"/>
        </w:tabs>
        <w:spacing w:line="500" w:lineRule="exact"/>
        <w:rPr>
          <w:color w:val="000000" w:themeColor="text1"/>
          <w:szCs w:val="21"/>
          <w14:textFill>
            <w14:solidFill>
              <w14:schemeClr w14:val="tx1"/>
            </w14:solidFill>
          </w14:textFill>
        </w:rPr>
      </w:pPr>
    </w:p>
    <w:p w14:paraId="66EE72D8">
      <w:pPr>
        <w:pStyle w:val="3"/>
        <w:spacing w:before="0" w:after="0" w:line="360" w:lineRule="auto"/>
        <w:rPr>
          <w:color w:val="000000" w:themeColor="text1"/>
          <w14:textFill>
            <w14:solidFill>
              <w14:schemeClr w14:val="tx1"/>
            </w14:solidFill>
          </w14:textFill>
        </w:rPr>
      </w:pPr>
      <w:bookmarkStart w:id="452" w:name="_Toc7416"/>
      <w:bookmarkStart w:id="453" w:name="_Toc151229429"/>
      <w:r>
        <w:rPr>
          <w:color w:val="000000" w:themeColor="text1"/>
          <w14:textFill>
            <w14:solidFill>
              <w14:schemeClr w14:val="tx1"/>
            </w14:solidFill>
          </w14:textFill>
        </w:rPr>
        <w:t>第六章  投标文件格式</w:t>
      </w:r>
      <w:bookmarkEnd w:id="419"/>
      <w:bookmarkEnd w:id="420"/>
      <w:bookmarkEnd w:id="421"/>
      <w:bookmarkEnd w:id="452"/>
      <w:bookmarkEnd w:id="453"/>
    </w:p>
    <w:p w14:paraId="64B8C273">
      <w:pPr>
        <w:autoSpaceDE w:val="0"/>
        <w:autoSpaceDN w:val="0"/>
        <w:adjustRightInd w:val="0"/>
        <w:spacing w:line="480" w:lineRule="atLeast"/>
        <w:ind w:firstLine="480" w:firstLineChars="200"/>
        <w:rPr>
          <w:color w:val="000000" w:themeColor="text1"/>
          <w:kern w:val="0"/>
          <w:sz w:val="24"/>
          <w14:textFill>
            <w14:solidFill>
              <w14:schemeClr w14:val="tx1"/>
            </w14:solidFill>
          </w14:textFill>
        </w:rPr>
      </w:pPr>
    </w:p>
    <w:p w14:paraId="1F08AAE5">
      <w:pPr>
        <w:autoSpaceDE w:val="0"/>
        <w:autoSpaceDN w:val="0"/>
        <w:adjustRightInd w:val="0"/>
        <w:spacing w:line="480" w:lineRule="atLeast"/>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（本章仅提供有格式要求的材料模版，具体投标文件组成不限于以下材料，投标人需按“投标人须知”章节中“投标文件”的具体要求编制投标文件）</w:t>
      </w:r>
    </w:p>
    <w:p w14:paraId="2A90C2FF">
      <w:pPr>
        <w:outlineLvl w:val="1"/>
        <w:rPr>
          <w:b/>
          <w:color w:val="000000" w:themeColor="text1"/>
          <w:sz w:val="32"/>
          <w14:textFill>
            <w14:solidFill>
              <w14:schemeClr w14:val="tx1"/>
            </w14:solidFill>
          </w14:textFill>
        </w:rPr>
      </w:pPr>
      <w:r>
        <w:rPr>
          <w:color w:val="000000" w:themeColor="text1"/>
          <w:sz w:val="24"/>
          <w14:textFill>
            <w14:solidFill>
              <w14:schemeClr w14:val="tx1"/>
            </w14:solidFill>
          </w14:textFill>
        </w:rPr>
        <w:br w:type="page"/>
      </w:r>
      <w:bookmarkStart w:id="454" w:name="_Toc445475396"/>
      <w:bookmarkStart w:id="455" w:name="_Toc8397"/>
      <w:bookmarkStart w:id="456" w:name="_Toc397928631"/>
      <w:bookmarkStart w:id="457" w:name="_Toc508216955"/>
      <w:r>
        <w:rPr>
          <w:rStyle w:val="69"/>
          <w:rFonts w:hAnsi="Times New Roman" w:eastAsia="宋体"/>
          <w:color w:val="000000" w:themeColor="text1"/>
          <w14:textFill>
            <w14:solidFill>
              <w14:schemeClr w14:val="tx1"/>
            </w14:solidFill>
          </w14:textFill>
        </w:rPr>
        <w:t>封面</w:t>
      </w:r>
      <w:bookmarkEnd w:id="454"/>
      <w:bookmarkEnd w:id="455"/>
      <w:bookmarkEnd w:id="456"/>
      <w:bookmarkEnd w:id="457"/>
    </w:p>
    <w:p w14:paraId="0E958622">
      <w:pPr>
        <w:spacing w:line="360" w:lineRule="auto"/>
        <w:jc w:val="center"/>
        <w:rPr>
          <w:b/>
          <w:color w:val="000000" w:themeColor="text1"/>
          <w:sz w:val="32"/>
          <w14:textFill>
            <w14:solidFill>
              <w14:schemeClr w14:val="tx1"/>
            </w14:solidFill>
          </w14:textFill>
        </w:rPr>
      </w:pPr>
    </w:p>
    <w:p w14:paraId="1947837F">
      <w:pPr>
        <w:jc w:val="center"/>
        <w:rPr>
          <w:color w:val="000000" w:themeColor="text1"/>
          <w:sz w:val="44"/>
          <w:szCs w:val="44"/>
          <w14:textFill>
            <w14:solidFill>
              <w14:schemeClr w14:val="tx1"/>
            </w14:solidFill>
          </w14:textFill>
        </w:rPr>
      </w:pPr>
    </w:p>
    <w:p w14:paraId="678C5B01">
      <w:pPr>
        <w:jc w:val="center"/>
        <w:rPr>
          <w:color w:val="000000" w:themeColor="text1"/>
          <w:sz w:val="44"/>
          <w:szCs w:val="44"/>
          <w14:textFill>
            <w14:solidFill>
              <w14:schemeClr w14:val="tx1"/>
            </w14:solidFill>
          </w14:textFill>
        </w:rPr>
      </w:pPr>
      <w:r>
        <w:rPr>
          <w:color w:val="000000" w:themeColor="text1"/>
          <w:sz w:val="44"/>
          <w:szCs w:val="44"/>
          <w:u w:val="single"/>
          <w14:textFill>
            <w14:solidFill>
              <w14:schemeClr w14:val="tx1"/>
            </w14:solidFill>
          </w14:textFill>
        </w:rPr>
        <w:t xml:space="preserve"> （项目名称及标段）   </w:t>
      </w:r>
    </w:p>
    <w:p w14:paraId="0E8C143A">
      <w:pPr>
        <w:spacing w:line="360" w:lineRule="auto"/>
        <w:jc w:val="center"/>
        <w:rPr>
          <w:color w:val="000000" w:themeColor="text1"/>
          <w:sz w:val="28"/>
          <w:szCs w:val="28"/>
          <w14:textFill>
            <w14:solidFill>
              <w14:schemeClr w14:val="tx1"/>
            </w14:solidFill>
          </w14:textFill>
        </w:rPr>
      </w:pPr>
    </w:p>
    <w:p w14:paraId="2EF0A6E6">
      <w:pPr>
        <w:spacing w:line="360" w:lineRule="auto"/>
        <w:jc w:val="center"/>
        <w:rPr>
          <w:color w:val="000000" w:themeColor="text1"/>
          <w:sz w:val="28"/>
          <w:szCs w:val="28"/>
          <w14:textFill>
            <w14:solidFill>
              <w14:schemeClr w14:val="tx1"/>
            </w14:solidFill>
          </w14:textFill>
        </w:rPr>
      </w:pPr>
    </w:p>
    <w:p w14:paraId="613F9760">
      <w:pPr>
        <w:spacing w:line="360" w:lineRule="auto"/>
        <w:jc w:val="center"/>
        <w:rPr>
          <w:color w:val="000000" w:themeColor="text1"/>
          <w:sz w:val="72"/>
          <w:szCs w:val="72"/>
          <w14:textFill>
            <w14:solidFill>
              <w14:schemeClr w14:val="tx1"/>
            </w14:solidFill>
          </w14:textFill>
        </w:rPr>
      </w:pPr>
    </w:p>
    <w:p w14:paraId="5F9F2533">
      <w:pPr>
        <w:spacing w:line="360" w:lineRule="auto"/>
        <w:jc w:val="center"/>
        <w:rPr>
          <w:color w:val="000000" w:themeColor="text1"/>
          <w:sz w:val="96"/>
          <w:szCs w:val="96"/>
          <w14:textFill>
            <w14:solidFill>
              <w14:schemeClr w14:val="tx1"/>
            </w14:solidFill>
          </w14:textFill>
        </w:rPr>
      </w:pPr>
      <w:r>
        <w:rPr>
          <w:color w:val="000000" w:themeColor="text1"/>
          <w:sz w:val="96"/>
          <w:szCs w:val="96"/>
          <w14:textFill>
            <w14:solidFill>
              <w14:schemeClr w14:val="tx1"/>
            </w14:solidFill>
          </w14:textFill>
        </w:rPr>
        <w:t>投 标 文 件</w:t>
      </w:r>
    </w:p>
    <w:p w14:paraId="776301DF">
      <w:pPr>
        <w:spacing w:line="360" w:lineRule="auto"/>
        <w:jc w:val="center"/>
        <w:rPr>
          <w:color w:val="000000" w:themeColor="text1"/>
          <w:sz w:val="28"/>
          <w:szCs w:val="28"/>
          <w14:textFill>
            <w14:solidFill>
              <w14:schemeClr w14:val="tx1"/>
            </w14:solidFill>
          </w14:textFill>
        </w:rPr>
      </w:pPr>
    </w:p>
    <w:p w14:paraId="2C4BBAE1">
      <w:pPr>
        <w:spacing w:line="360" w:lineRule="auto"/>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项目编号： </w:t>
      </w:r>
    </w:p>
    <w:p w14:paraId="704D0EBF">
      <w:pPr>
        <w:spacing w:line="360" w:lineRule="auto"/>
        <w:jc w:val="center"/>
        <w:rPr>
          <w:color w:val="000000" w:themeColor="text1"/>
          <w:sz w:val="28"/>
          <w:szCs w:val="28"/>
          <w14:textFill>
            <w14:solidFill>
              <w14:schemeClr w14:val="tx1"/>
            </w14:solidFill>
          </w14:textFill>
        </w:rPr>
      </w:pPr>
    </w:p>
    <w:p w14:paraId="573B9A64">
      <w:pPr>
        <w:spacing w:line="360" w:lineRule="auto"/>
        <w:jc w:val="center"/>
        <w:rPr>
          <w:color w:val="000000" w:themeColor="text1"/>
          <w:sz w:val="28"/>
          <w:szCs w:val="28"/>
          <w14:textFill>
            <w14:solidFill>
              <w14:schemeClr w14:val="tx1"/>
            </w14:solidFill>
          </w14:textFill>
        </w:rPr>
      </w:pPr>
    </w:p>
    <w:p w14:paraId="249EC279">
      <w:pPr>
        <w:spacing w:line="360" w:lineRule="auto"/>
        <w:jc w:val="center"/>
        <w:rPr>
          <w:color w:val="000000" w:themeColor="text1"/>
          <w:sz w:val="28"/>
          <w:szCs w:val="28"/>
          <w14:textFill>
            <w14:solidFill>
              <w14:schemeClr w14:val="tx1"/>
            </w14:solidFill>
          </w14:textFill>
        </w:rPr>
      </w:pPr>
    </w:p>
    <w:p w14:paraId="7997751E">
      <w:pPr>
        <w:spacing w:line="360" w:lineRule="auto"/>
        <w:jc w:val="center"/>
        <w:rPr>
          <w:color w:val="000000" w:themeColor="text1"/>
          <w:sz w:val="28"/>
          <w:szCs w:val="28"/>
          <w14:textFill>
            <w14:solidFill>
              <w14:schemeClr w14:val="tx1"/>
            </w14:solidFill>
          </w14:textFill>
        </w:rPr>
      </w:pPr>
    </w:p>
    <w:p w14:paraId="427505F2">
      <w:pPr>
        <w:spacing w:line="360" w:lineRule="auto"/>
        <w:jc w:val="center"/>
        <w:rPr>
          <w:color w:val="000000" w:themeColor="text1"/>
          <w:sz w:val="28"/>
          <w:szCs w:val="28"/>
          <w14:textFill>
            <w14:solidFill>
              <w14:schemeClr w14:val="tx1"/>
            </w14:solidFill>
          </w14:textFill>
        </w:rPr>
      </w:pPr>
    </w:p>
    <w:p w14:paraId="1E71ED1B">
      <w:pPr>
        <w:spacing w:line="360" w:lineRule="auto"/>
        <w:jc w:val="center"/>
        <w:rPr>
          <w:color w:val="000000" w:themeColor="text1"/>
          <w:sz w:val="28"/>
          <w:szCs w:val="28"/>
          <w14:textFill>
            <w14:solidFill>
              <w14:schemeClr w14:val="tx1"/>
            </w14:solidFill>
          </w14:textFill>
        </w:rPr>
      </w:pPr>
    </w:p>
    <w:p w14:paraId="13A1F6A2">
      <w:pPr>
        <w:spacing w:line="360" w:lineRule="auto"/>
        <w:jc w:val="center"/>
        <w:rPr>
          <w:color w:val="000000" w:themeColor="text1"/>
          <w:sz w:val="28"/>
          <w:szCs w:val="28"/>
          <w14:textFill>
            <w14:solidFill>
              <w14:schemeClr w14:val="tx1"/>
            </w14:solidFill>
          </w14:textFill>
        </w:rPr>
      </w:pPr>
    </w:p>
    <w:p w14:paraId="477F65D0">
      <w:pPr>
        <w:spacing w:line="360" w:lineRule="auto"/>
        <w:ind w:firstLine="708" w:firstLineChars="253"/>
        <w:jc w:val="lef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投标人（盖章）：</w:t>
      </w:r>
    </w:p>
    <w:p w14:paraId="7D71C8E8">
      <w:pPr>
        <w:pStyle w:val="19"/>
        <w:rPr>
          <w:color w:val="000000" w:themeColor="text1"/>
          <w14:textFill>
            <w14:solidFill>
              <w14:schemeClr w14:val="tx1"/>
            </w14:solidFill>
          </w14:textFill>
        </w:rPr>
      </w:pPr>
    </w:p>
    <w:p w14:paraId="11355F26">
      <w:pPr>
        <w:spacing w:line="360" w:lineRule="auto"/>
        <w:ind w:firstLine="700" w:firstLineChars="250"/>
        <w:jc w:val="lef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日期：</w:t>
      </w:r>
      <w:r>
        <w:rPr>
          <w:rFonts w:hint="eastAsia"/>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年</w:t>
      </w:r>
      <w:r>
        <w:rPr>
          <w:rFonts w:hint="eastAsia"/>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月</w:t>
      </w:r>
      <w:r>
        <w:rPr>
          <w:rFonts w:hint="eastAsia"/>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日</w:t>
      </w:r>
    </w:p>
    <w:p w14:paraId="478FF9D0">
      <w:pPr>
        <w:spacing w:line="360" w:lineRule="auto"/>
        <w:jc w:val="left"/>
        <w:rPr>
          <w:color w:val="000000" w:themeColor="text1"/>
          <w14:textFill>
            <w14:solidFill>
              <w14:schemeClr w14:val="tx1"/>
            </w14:solidFill>
          </w14:textFill>
        </w:rPr>
      </w:pPr>
      <w:bookmarkStart w:id="458" w:name="_Toc387526242"/>
      <w:bookmarkStart w:id="459" w:name="_Toc387526346"/>
      <w:bookmarkStart w:id="460" w:name="_Toc397928632"/>
      <w:bookmarkStart w:id="461" w:name="_Toc387526438"/>
      <w:bookmarkStart w:id="462" w:name="_Toc5230"/>
    </w:p>
    <w:p w14:paraId="796F8590">
      <w:pPr>
        <w:spacing w:line="360" w:lineRule="auto"/>
        <w:ind w:firstLine="1785" w:firstLineChars="850"/>
        <w:jc w:val="left"/>
        <w:rPr>
          <w:color w:val="000000" w:themeColor="text1"/>
          <w14:textFill>
            <w14:solidFill>
              <w14:schemeClr w14:val="tx1"/>
            </w14:solidFill>
          </w14:textFill>
        </w:rPr>
      </w:pPr>
    </w:p>
    <w:p w14:paraId="4663DFD2">
      <w:pPr>
        <w:spacing w:line="360" w:lineRule="auto"/>
        <w:ind w:firstLine="1785" w:firstLineChars="850"/>
        <w:jc w:val="left"/>
        <w:rPr>
          <w:color w:val="000000" w:themeColor="text1"/>
          <w14:textFill>
            <w14:solidFill>
              <w14:schemeClr w14:val="tx1"/>
            </w14:solidFill>
          </w14:textFill>
        </w:rPr>
      </w:pPr>
    </w:p>
    <w:bookmarkEnd w:id="458"/>
    <w:bookmarkEnd w:id="459"/>
    <w:bookmarkEnd w:id="460"/>
    <w:bookmarkEnd w:id="461"/>
    <w:bookmarkEnd w:id="462"/>
    <w:p w14:paraId="008E5488">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6F4DA5B1">
      <w:pPr>
        <w:pStyle w:val="26"/>
        <w:snapToGrid w:val="0"/>
        <w:spacing w:before="120" w:after="120" w:line="460" w:lineRule="exact"/>
        <w:jc w:val="left"/>
        <w:rPr>
          <w:rFonts w:ascii="Times New Roman" w:hAnsi="Times New Roman"/>
          <w:color w:val="000000" w:themeColor="text1"/>
          <w:sz w:val="24"/>
          <w:szCs w:val="24"/>
          <w:lang w:bidi="th-TH"/>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格式一：</w:t>
      </w:r>
    </w:p>
    <w:p w14:paraId="10DA71AA">
      <w:pPr>
        <w:pStyle w:val="26"/>
        <w:snapToGrid w:val="0"/>
        <w:spacing w:before="120" w:after="120" w:line="460" w:lineRule="exact"/>
        <w:jc w:val="center"/>
        <w:rPr>
          <w:rFonts w:ascii="Times New Roman" w:hAnsi="Times New Roman"/>
          <w:b/>
          <w:color w:val="000000" w:themeColor="text1"/>
          <w:szCs w:val="28"/>
          <w14:textFill>
            <w14:solidFill>
              <w14:schemeClr w14:val="tx1"/>
            </w14:solidFill>
          </w14:textFill>
        </w:rPr>
      </w:pPr>
    </w:p>
    <w:p w14:paraId="2747373D">
      <w:pPr>
        <w:pStyle w:val="26"/>
        <w:snapToGrid w:val="0"/>
        <w:spacing w:before="120" w:after="120" w:line="460" w:lineRule="exact"/>
        <w:jc w:val="center"/>
        <w:rPr>
          <w:rFonts w:ascii="Times New Roman" w:hAnsi="Times New Roman"/>
          <w:color w:val="000000" w:themeColor="text1"/>
          <w:lang w:bidi="th-TH"/>
          <w14:textFill>
            <w14:solidFill>
              <w14:schemeClr w14:val="tx1"/>
            </w14:solidFill>
          </w14:textFill>
        </w:rPr>
      </w:pPr>
      <w:r>
        <w:rPr>
          <w:rFonts w:ascii="Times New Roman" w:hAnsi="Times New Roman"/>
          <w:b/>
          <w:color w:val="000000" w:themeColor="text1"/>
          <w:szCs w:val="28"/>
          <w14:textFill>
            <w14:solidFill>
              <w14:schemeClr w14:val="tx1"/>
            </w14:solidFill>
          </w14:textFill>
        </w:rPr>
        <w:t>法定代表人身份证明书</w:t>
      </w:r>
    </w:p>
    <w:p w14:paraId="721EE6A4">
      <w:pPr>
        <w:pStyle w:val="26"/>
        <w:snapToGrid w:val="0"/>
        <w:spacing w:before="120" w:after="120" w:line="460" w:lineRule="exact"/>
        <w:jc w:val="left"/>
        <w:rPr>
          <w:rFonts w:ascii="Times New Roman" w:hAnsi="Times New Roman"/>
          <w:color w:val="000000" w:themeColor="text1"/>
          <w:sz w:val="24"/>
          <w:szCs w:val="24"/>
          <w:u w:val="single"/>
          <w:lang w:bidi="th-TH"/>
          <w14:textFill>
            <w14:solidFill>
              <w14:schemeClr w14:val="tx1"/>
            </w14:solidFill>
          </w14:textFill>
        </w:rPr>
      </w:pPr>
      <w:r>
        <w:rPr>
          <w:rFonts w:ascii="Times New Roman" w:hAnsi="Times New Roman"/>
          <w:color w:val="000000" w:themeColor="text1"/>
          <w:sz w:val="24"/>
          <w:szCs w:val="24"/>
          <w:lang w:bidi="th-TH"/>
          <w14:textFill>
            <w14:solidFill>
              <w14:schemeClr w14:val="tx1"/>
            </w14:solidFill>
          </w14:textFill>
        </w:rPr>
        <w:t>单位名称：</w:t>
      </w:r>
      <w:r>
        <w:rPr>
          <w:rFonts w:hint="eastAsia" w:ascii="Times New Roman" w:hAnsi="Times New Roman"/>
          <w:color w:val="000000" w:themeColor="text1"/>
          <w:sz w:val="24"/>
          <w:szCs w:val="24"/>
          <w:u w:val="single"/>
          <w:lang w:bidi="th-TH"/>
          <w14:textFill>
            <w14:solidFill>
              <w14:schemeClr w14:val="tx1"/>
            </w14:solidFill>
          </w14:textFill>
        </w:rPr>
        <w:t xml:space="preserve">                         </w:t>
      </w:r>
    </w:p>
    <w:p w14:paraId="2683065C">
      <w:pPr>
        <w:pStyle w:val="26"/>
        <w:snapToGrid w:val="0"/>
        <w:spacing w:before="120" w:after="120" w:line="460" w:lineRule="exact"/>
        <w:jc w:val="left"/>
        <w:rPr>
          <w:rFonts w:ascii="Times New Roman" w:hAnsi="Times New Roman"/>
          <w:color w:val="000000" w:themeColor="text1"/>
          <w:sz w:val="24"/>
          <w:szCs w:val="24"/>
          <w:u w:val="single"/>
          <w:lang w:bidi="th-TH"/>
          <w14:textFill>
            <w14:solidFill>
              <w14:schemeClr w14:val="tx1"/>
            </w14:solidFill>
          </w14:textFill>
        </w:rPr>
      </w:pPr>
      <w:r>
        <w:rPr>
          <w:rFonts w:ascii="Times New Roman" w:hAnsi="Times New Roman"/>
          <w:color w:val="000000" w:themeColor="text1"/>
          <w:sz w:val="24"/>
          <w:szCs w:val="24"/>
          <w:lang w:bidi="th-TH"/>
          <w14:textFill>
            <w14:solidFill>
              <w14:schemeClr w14:val="tx1"/>
            </w14:solidFill>
          </w14:textFill>
        </w:rPr>
        <w:t>单位性质：</w:t>
      </w:r>
      <w:r>
        <w:rPr>
          <w:rFonts w:hint="eastAsia" w:ascii="Times New Roman" w:hAnsi="Times New Roman"/>
          <w:color w:val="000000" w:themeColor="text1"/>
          <w:sz w:val="24"/>
          <w:szCs w:val="24"/>
          <w:u w:val="single"/>
          <w:lang w:bidi="th-TH"/>
          <w14:textFill>
            <w14:solidFill>
              <w14:schemeClr w14:val="tx1"/>
            </w14:solidFill>
          </w14:textFill>
        </w:rPr>
        <w:t xml:space="preserve">                         </w:t>
      </w:r>
    </w:p>
    <w:p w14:paraId="0B97B6BD">
      <w:pPr>
        <w:pStyle w:val="26"/>
        <w:snapToGrid w:val="0"/>
        <w:spacing w:before="120" w:after="120" w:line="460" w:lineRule="exact"/>
        <w:jc w:val="left"/>
        <w:rPr>
          <w:rFonts w:ascii="Times New Roman" w:hAnsi="Times New Roman"/>
          <w:color w:val="000000" w:themeColor="text1"/>
          <w:sz w:val="24"/>
          <w:szCs w:val="24"/>
          <w:u w:val="single"/>
          <w:lang w:bidi="th-TH"/>
          <w14:textFill>
            <w14:solidFill>
              <w14:schemeClr w14:val="tx1"/>
            </w14:solidFill>
          </w14:textFill>
        </w:rPr>
      </w:pPr>
      <w:r>
        <w:rPr>
          <w:rFonts w:ascii="Times New Roman" w:hAnsi="Times New Roman"/>
          <w:color w:val="000000" w:themeColor="text1"/>
          <w:sz w:val="24"/>
          <w:szCs w:val="24"/>
          <w:lang w:bidi="th-TH"/>
          <w14:textFill>
            <w14:solidFill>
              <w14:schemeClr w14:val="tx1"/>
            </w14:solidFill>
          </w14:textFill>
        </w:rPr>
        <w:t>地</w:t>
      </w:r>
      <w:r>
        <w:rPr>
          <w:rFonts w:hint="eastAsia" w:ascii="Times New Roman" w:hAnsi="Times New Roman"/>
          <w:color w:val="000000" w:themeColor="text1"/>
          <w:sz w:val="24"/>
          <w:szCs w:val="24"/>
          <w:lang w:bidi="th-TH"/>
          <w14:textFill>
            <w14:solidFill>
              <w14:schemeClr w14:val="tx1"/>
            </w14:solidFill>
          </w14:textFill>
        </w:rPr>
        <w:t xml:space="preserve">    </w:t>
      </w:r>
      <w:r>
        <w:rPr>
          <w:rFonts w:ascii="Times New Roman" w:hAnsi="Times New Roman"/>
          <w:color w:val="000000" w:themeColor="text1"/>
          <w:sz w:val="24"/>
          <w:szCs w:val="24"/>
          <w:lang w:bidi="th-TH"/>
          <w14:textFill>
            <w14:solidFill>
              <w14:schemeClr w14:val="tx1"/>
            </w14:solidFill>
          </w14:textFill>
        </w:rPr>
        <w:t>址：</w:t>
      </w:r>
      <w:r>
        <w:rPr>
          <w:rFonts w:hint="eastAsia" w:ascii="Times New Roman" w:hAnsi="Times New Roman"/>
          <w:color w:val="000000" w:themeColor="text1"/>
          <w:sz w:val="24"/>
          <w:szCs w:val="24"/>
          <w:u w:val="single"/>
          <w:lang w:bidi="th-TH"/>
          <w14:textFill>
            <w14:solidFill>
              <w14:schemeClr w14:val="tx1"/>
            </w14:solidFill>
          </w14:textFill>
        </w:rPr>
        <w:t xml:space="preserve">                         </w:t>
      </w:r>
    </w:p>
    <w:p w14:paraId="564A36CB">
      <w:pPr>
        <w:pStyle w:val="26"/>
        <w:snapToGrid w:val="0"/>
        <w:spacing w:before="120" w:after="120" w:line="460" w:lineRule="exact"/>
        <w:jc w:val="left"/>
        <w:rPr>
          <w:rFonts w:ascii="Times New Roman" w:hAnsi="Times New Roman"/>
          <w:color w:val="000000" w:themeColor="text1"/>
          <w:sz w:val="24"/>
          <w:szCs w:val="24"/>
          <w:lang w:bidi="th-TH"/>
          <w14:textFill>
            <w14:solidFill>
              <w14:schemeClr w14:val="tx1"/>
            </w14:solidFill>
          </w14:textFill>
        </w:rPr>
      </w:pPr>
      <w:r>
        <w:rPr>
          <w:rFonts w:ascii="Times New Roman" w:hAnsi="Times New Roman"/>
          <w:color w:val="000000" w:themeColor="text1"/>
          <w:sz w:val="24"/>
          <w:szCs w:val="24"/>
          <w:lang w:bidi="th-TH"/>
          <w14:textFill>
            <w14:solidFill>
              <w14:schemeClr w14:val="tx1"/>
            </w14:solidFill>
          </w14:textFill>
        </w:rPr>
        <w:t>成立时间：</w:t>
      </w:r>
      <w:r>
        <w:rPr>
          <w:rFonts w:ascii="Times New Roman" w:hAnsi="Times New Roman"/>
          <w:color w:val="000000" w:themeColor="text1"/>
          <w:sz w:val="24"/>
          <w:szCs w:val="24"/>
          <w:u w:val="single"/>
          <w:lang w:bidi="th-TH"/>
          <w14:textFill>
            <w14:solidFill>
              <w14:schemeClr w14:val="tx1"/>
            </w14:solidFill>
          </w14:textFill>
        </w:rPr>
        <w:t xml:space="preserve">       年    月      日</w:t>
      </w:r>
    </w:p>
    <w:p w14:paraId="7824E42E">
      <w:pPr>
        <w:pStyle w:val="26"/>
        <w:snapToGrid w:val="0"/>
        <w:spacing w:before="120" w:after="120" w:line="460" w:lineRule="exact"/>
        <w:jc w:val="left"/>
        <w:rPr>
          <w:rFonts w:ascii="Times New Roman" w:hAnsi="Times New Roman"/>
          <w:color w:val="000000" w:themeColor="text1"/>
          <w:sz w:val="24"/>
          <w:szCs w:val="24"/>
          <w:lang w:bidi="th-TH"/>
          <w14:textFill>
            <w14:solidFill>
              <w14:schemeClr w14:val="tx1"/>
            </w14:solidFill>
          </w14:textFill>
        </w:rPr>
      </w:pPr>
      <w:r>
        <w:rPr>
          <w:rFonts w:ascii="Times New Roman" w:hAnsi="Times New Roman"/>
          <w:color w:val="000000" w:themeColor="text1"/>
          <w:sz w:val="24"/>
          <w:szCs w:val="24"/>
          <w:lang w:bidi="th-TH"/>
          <w14:textFill>
            <w14:solidFill>
              <w14:schemeClr w14:val="tx1"/>
            </w14:solidFill>
          </w14:textFill>
        </w:rPr>
        <w:t>经营期限：</w:t>
      </w:r>
      <w:r>
        <w:rPr>
          <w:rFonts w:hint="eastAsia" w:ascii="Times New Roman" w:hAnsi="Times New Roman"/>
          <w:color w:val="000000" w:themeColor="text1"/>
          <w:sz w:val="24"/>
          <w:szCs w:val="24"/>
          <w:u w:val="single"/>
          <w:lang w:bidi="th-TH"/>
          <w14:textFill>
            <w14:solidFill>
              <w14:schemeClr w14:val="tx1"/>
            </w14:solidFill>
          </w14:textFill>
        </w:rPr>
        <w:t xml:space="preserve">                         </w:t>
      </w:r>
    </w:p>
    <w:p w14:paraId="3A52C221">
      <w:pPr>
        <w:pStyle w:val="26"/>
        <w:snapToGrid w:val="0"/>
        <w:spacing w:before="120" w:after="120" w:line="460" w:lineRule="exact"/>
        <w:jc w:val="left"/>
        <w:rPr>
          <w:rFonts w:ascii="Times New Roman" w:hAnsi="Times New Roman"/>
          <w:color w:val="000000" w:themeColor="text1"/>
          <w:sz w:val="24"/>
          <w:szCs w:val="24"/>
          <w:lang w:bidi="th-TH"/>
          <w14:textFill>
            <w14:solidFill>
              <w14:schemeClr w14:val="tx1"/>
            </w14:solidFill>
          </w14:textFill>
        </w:rPr>
      </w:pPr>
      <w:r>
        <w:rPr>
          <w:rFonts w:ascii="Times New Roman" w:hAnsi="Times New Roman"/>
          <w:color w:val="000000" w:themeColor="text1"/>
          <w:sz w:val="24"/>
          <w:szCs w:val="24"/>
          <w:lang w:bidi="th-TH"/>
          <w14:textFill>
            <w14:solidFill>
              <w14:schemeClr w14:val="tx1"/>
            </w14:solidFill>
          </w14:textFill>
        </w:rPr>
        <w:t xml:space="preserve">姓名： </w:t>
      </w:r>
      <w:r>
        <w:rPr>
          <w:rFonts w:hint="eastAsia" w:ascii="Times New Roman" w:hAnsi="Times New Roman"/>
          <w:color w:val="000000" w:themeColor="text1"/>
          <w:sz w:val="24"/>
          <w:szCs w:val="24"/>
          <w:u w:val="single"/>
          <w:lang w:bidi="th-TH"/>
          <w14:textFill>
            <w14:solidFill>
              <w14:schemeClr w14:val="tx1"/>
            </w14:solidFill>
          </w14:textFill>
        </w:rPr>
        <w:t xml:space="preserve">     </w:t>
      </w:r>
      <w:r>
        <w:rPr>
          <w:rFonts w:ascii="Times New Roman" w:hAnsi="Times New Roman"/>
          <w:color w:val="000000" w:themeColor="text1"/>
          <w:sz w:val="24"/>
          <w:szCs w:val="24"/>
          <w:lang w:bidi="th-TH"/>
          <w14:textFill>
            <w14:solidFill>
              <w14:schemeClr w14:val="tx1"/>
            </w14:solidFill>
          </w14:textFill>
        </w:rPr>
        <w:t xml:space="preserve">性别： </w:t>
      </w:r>
      <w:r>
        <w:rPr>
          <w:rFonts w:hint="eastAsia" w:ascii="Times New Roman" w:hAnsi="Times New Roman"/>
          <w:color w:val="000000" w:themeColor="text1"/>
          <w:sz w:val="24"/>
          <w:szCs w:val="24"/>
          <w:u w:val="single"/>
          <w:lang w:bidi="th-TH"/>
          <w14:textFill>
            <w14:solidFill>
              <w14:schemeClr w14:val="tx1"/>
            </w14:solidFill>
          </w14:textFill>
        </w:rPr>
        <w:t xml:space="preserve">     </w:t>
      </w:r>
      <w:r>
        <w:rPr>
          <w:rFonts w:ascii="Times New Roman" w:hAnsi="Times New Roman"/>
          <w:color w:val="000000" w:themeColor="text1"/>
          <w:sz w:val="24"/>
          <w:szCs w:val="24"/>
          <w:lang w:bidi="th-TH"/>
          <w14:textFill>
            <w14:solidFill>
              <w14:schemeClr w14:val="tx1"/>
            </w14:solidFill>
          </w14:textFill>
        </w:rPr>
        <w:t xml:space="preserve"> 年龄： </w:t>
      </w:r>
      <w:r>
        <w:rPr>
          <w:rFonts w:hint="eastAsia" w:ascii="Times New Roman" w:hAnsi="Times New Roman"/>
          <w:color w:val="000000" w:themeColor="text1"/>
          <w:sz w:val="24"/>
          <w:szCs w:val="24"/>
          <w:u w:val="single"/>
          <w:lang w:bidi="th-TH"/>
          <w14:textFill>
            <w14:solidFill>
              <w14:schemeClr w14:val="tx1"/>
            </w14:solidFill>
          </w14:textFill>
        </w:rPr>
        <w:t xml:space="preserve">     </w:t>
      </w:r>
      <w:r>
        <w:rPr>
          <w:rFonts w:ascii="Times New Roman" w:hAnsi="Times New Roman"/>
          <w:color w:val="000000" w:themeColor="text1"/>
          <w:sz w:val="24"/>
          <w:szCs w:val="24"/>
          <w:lang w:bidi="th-TH"/>
          <w14:textFill>
            <w14:solidFill>
              <w14:schemeClr w14:val="tx1"/>
            </w14:solidFill>
          </w14:textFill>
        </w:rPr>
        <w:t xml:space="preserve"> 职务： </w:t>
      </w:r>
      <w:r>
        <w:rPr>
          <w:rFonts w:hint="eastAsia" w:ascii="Times New Roman" w:hAnsi="Times New Roman"/>
          <w:color w:val="000000" w:themeColor="text1"/>
          <w:sz w:val="24"/>
          <w:szCs w:val="24"/>
          <w:u w:val="single"/>
          <w:lang w:bidi="th-TH"/>
          <w14:textFill>
            <w14:solidFill>
              <w14:schemeClr w14:val="tx1"/>
            </w14:solidFill>
          </w14:textFill>
        </w:rPr>
        <w:t xml:space="preserve">     </w:t>
      </w:r>
    </w:p>
    <w:p w14:paraId="13EE4AED">
      <w:pPr>
        <w:pStyle w:val="26"/>
        <w:snapToGrid w:val="0"/>
        <w:spacing w:before="120" w:after="120" w:line="460" w:lineRule="exact"/>
        <w:jc w:val="left"/>
        <w:rPr>
          <w:rFonts w:ascii="Times New Roman" w:hAnsi="Times New Roman"/>
          <w:color w:val="000000" w:themeColor="text1"/>
          <w:sz w:val="24"/>
          <w:szCs w:val="24"/>
          <w:lang w:bidi="th-TH"/>
          <w14:textFill>
            <w14:solidFill>
              <w14:schemeClr w14:val="tx1"/>
            </w14:solidFill>
          </w14:textFill>
        </w:rPr>
      </w:pPr>
      <w:r>
        <w:rPr>
          <w:rFonts w:ascii="Times New Roman" w:hAnsi="Times New Roman"/>
          <w:color w:val="000000" w:themeColor="text1"/>
          <w:sz w:val="24"/>
          <w:szCs w:val="24"/>
          <w:lang w:bidi="th-TH"/>
          <w14:textFill>
            <w14:solidFill>
              <w14:schemeClr w14:val="tx1"/>
            </w14:solidFill>
          </w14:textFill>
        </w:rPr>
        <w:t>系</w:t>
      </w:r>
      <w:r>
        <w:rPr>
          <w:rFonts w:ascii="Times New Roman" w:hAnsi="Times New Roman"/>
          <w:color w:val="000000" w:themeColor="text1"/>
          <w:sz w:val="24"/>
          <w:szCs w:val="24"/>
          <w:u w:val="single"/>
          <w:lang w:bidi="th-TH"/>
          <w14:textFill>
            <w14:solidFill>
              <w14:schemeClr w14:val="tx1"/>
            </w14:solidFill>
          </w14:textFill>
        </w:rPr>
        <w:t>（投标人）</w:t>
      </w:r>
      <w:r>
        <w:rPr>
          <w:rFonts w:ascii="Times New Roman" w:hAnsi="Times New Roman"/>
          <w:color w:val="000000" w:themeColor="text1"/>
          <w:sz w:val="24"/>
          <w:szCs w:val="24"/>
          <w:lang w:bidi="th-TH"/>
          <w14:textFill>
            <w14:solidFill>
              <w14:schemeClr w14:val="tx1"/>
            </w14:solidFill>
          </w14:textFill>
        </w:rPr>
        <w:t>的法定代表人。</w:t>
      </w:r>
    </w:p>
    <w:p w14:paraId="37BD1EE5">
      <w:pPr>
        <w:pStyle w:val="26"/>
        <w:snapToGrid w:val="0"/>
        <w:spacing w:before="120" w:after="120" w:line="460" w:lineRule="exact"/>
        <w:jc w:val="left"/>
        <w:rPr>
          <w:rFonts w:ascii="Times New Roman" w:hAnsi="Times New Roman"/>
          <w:color w:val="000000" w:themeColor="text1"/>
          <w:sz w:val="24"/>
          <w:szCs w:val="24"/>
          <w:lang w:bidi="th-TH"/>
          <w14:textFill>
            <w14:solidFill>
              <w14:schemeClr w14:val="tx1"/>
            </w14:solidFill>
          </w14:textFill>
        </w:rPr>
      </w:pPr>
      <w:r>
        <w:rPr>
          <w:rFonts w:ascii="Times New Roman" w:hAnsi="Times New Roman"/>
          <w:color w:val="000000" w:themeColor="text1"/>
          <w:sz w:val="24"/>
          <w:szCs w:val="24"/>
          <w:lang w:bidi="th-TH"/>
          <w14:textFill>
            <w14:solidFill>
              <w14:schemeClr w14:val="tx1"/>
            </w14:solidFill>
          </w14:textFill>
        </w:rPr>
        <w:t>特此证明。</w:t>
      </w:r>
    </w:p>
    <w:p w14:paraId="6D5704E4">
      <w:pPr>
        <w:pStyle w:val="26"/>
        <w:snapToGrid w:val="0"/>
        <w:spacing w:before="120" w:after="120" w:line="460" w:lineRule="exact"/>
        <w:jc w:val="left"/>
        <w:rPr>
          <w:rFonts w:ascii="Times New Roman" w:hAnsi="Times New Roman"/>
          <w:color w:val="000000" w:themeColor="text1"/>
          <w:sz w:val="24"/>
          <w:szCs w:val="24"/>
          <w:lang w:bidi="th-TH"/>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19685</wp:posOffset>
                </wp:positionH>
                <wp:positionV relativeFrom="paragraph">
                  <wp:posOffset>113030</wp:posOffset>
                </wp:positionV>
                <wp:extent cx="1943100" cy="1089660"/>
                <wp:effectExtent l="5080" t="4445" r="13970" b="10795"/>
                <wp:wrapNone/>
                <wp:docPr id="1" name="Rectangle 3"/>
                <wp:cNvGraphicFramePr/>
                <a:graphic xmlns:a="http://schemas.openxmlformats.org/drawingml/2006/main">
                  <a:graphicData uri="http://schemas.microsoft.com/office/word/2010/wordprocessingShape">
                    <wps:wsp>
                      <wps:cNvSpPr/>
                      <wps:spPr bwMode="auto">
                        <a:xfrm>
                          <a:off x="0" y="0"/>
                          <a:ext cx="1943100" cy="1089660"/>
                        </a:xfrm>
                        <a:prstGeom prst="rect">
                          <a:avLst/>
                        </a:prstGeom>
                        <a:solidFill>
                          <a:srgbClr val="FFFFFF"/>
                        </a:solidFill>
                        <a:ln w="9525" cmpd="sng">
                          <a:solidFill>
                            <a:srgbClr val="000000"/>
                          </a:solidFill>
                          <a:miter lim="800000"/>
                        </a:ln>
                        <a:effectLst/>
                      </wps:spPr>
                      <wps:txbx>
                        <w:txbxContent>
                          <w:p w14:paraId="59795E24">
                            <w:pPr>
                              <w:jc w:val="center"/>
                              <w:rPr>
                                <w:rFonts w:ascii="宋体" w:hAnsi="宋体"/>
                                <w:sz w:val="24"/>
                              </w:rPr>
                            </w:pPr>
                          </w:p>
                          <w:p w14:paraId="201D7794">
                            <w:pPr>
                              <w:jc w:val="center"/>
                              <w:rPr>
                                <w:rFonts w:ascii="宋体" w:hAnsi="宋体"/>
                                <w:sz w:val="24"/>
                              </w:rPr>
                            </w:pPr>
                            <w:r>
                              <w:rPr>
                                <w:rFonts w:hint="eastAsia" w:ascii="宋体" w:hAnsi="宋体"/>
                                <w:sz w:val="24"/>
                              </w:rPr>
                              <w:t>法定代表人身份证</w:t>
                            </w:r>
                            <w:r>
                              <w:rPr>
                                <w:rFonts w:hint="eastAsia" w:ascii="宋体" w:hAnsi="宋体"/>
                                <w:szCs w:val="21"/>
                              </w:rPr>
                              <w:t>复印件或原件的彩色扫描件</w:t>
                            </w:r>
                          </w:p>
                          <w:p w14:paraId="25811CD8">
                            <w:pPr>
                              <w:jc w:val="center"/>
                              <w:rPr>
                                <w:rFonts w:ascii="宋体" w:hAnsi="宋体"/>
                                <w:sz w:val="24"/>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1.55pt;margin-top:8.9pt;height:85.8pt;width:153pt;z-index:251661312;mso-width-relative:page;mso-height-relative:page;" fillcolor="#FFFFFF" filled="t" stroked="t" coordsize="21600,21600" o:gfxdata="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AG5q/V&#10;AAAACAEAAA8AAAAAAAAAAQAgAAAAIgAAAGRycy9kb3ducmV2LnhtbFBLAQIUABQAAAAIAIdO4kCk&#10;aFCNIwIAAGcEAAAOAAAAAAAAAAEAIAAAACQBAABkcnMvZTJvRG9jLnhtbFBLBQYAAAAABgAGAFkB&#10;AAC5BQAAAAA=&#10;">
                <v:fill on="t" focussize="0,0"/>
                <v:stroke color="#000000" miterlimit="8" joinstyle="miter"/>
                <v:imagedata o:title=""/>
                <o:lock v:ext="edit" aspectratio="f"/>
                <v:textbox>
                  <w:txbxContent>
                    <w:p w14:paraId="59795E24">
                      <w:pPr>
                        <w:jc w:val="center"/>
                        <w:rPr>
                          <w:rFonts w:ascii="宋体" w:hAnsi="宋体"/>
                          <w:sz w:val="24"/>
                        </w:rPr>
                      </w:pPr>
                    </w:p>
                    <w:p w14:paraId="201D7794">
                      <w:pPr>
                        <w:jc w:val="center"/>
                        <w:rPr>
                          <w:rFonts w:ascii="宋体" w:hAnsi="宋体"/>
                          <w:sz w:val="24"/>
                        </w:rPr>
                      </w:pPr>
                      <w:r>
                        <w:rPr>
                          <w:rFonts w:hint="eastAsia" w:ascii="宋体" w:hAnsi="宋体"/>
                          <w:sz w:val="24"/>
                        </w:rPr>
                        <w:t>法定代表人身份证</w:t>
                      </w:r>
                      <w:r>
                        <w:rPr>
                          <w:rFonts w:hint="eastAsia" w:ascii="宋体" w:hAnsi="宋体"/>
                          <w:szCs w:val="21"/>
                        </w:rPr>
                        <w:t>复印件或原件的彩色扫描件</w:t>
                      </w:r>
                    </w:p>
                    <w:p w14:paraId="25811CD8">
                      <w:pPr>
                        <w:jc w:val="center"/>
                        <w:rPr>
                          <w:rFonts w:ascii="宋体" w:hAnsi="宋体"/>
                          <w:sz w:val="24"/>
                        </w:rPr>
                      </w:pPr>
                    </w:p>
                  </w:txbxContent>
                </v:textbox>
              </v:rect>
            </w:pict>
          </mc:Fallback>
        </mc:AlternateContent>
      </w:r>
    </w:p>
    <w:p w14:paraId="3E638688">
      <w:pPr>
        <w:pStyle w:val="26"/>
        <w:snapToGrid w:val="0"/>
        <w:spacing w:before="120" w:after="120" w:line="460" w:lineRule="exact"/>
        <w:ind w:firstLine="5508" w:firstLineChars="2295"/>
        <w:jc w:val="left"/>
        <w:rPr>
          <w:rFonts w:ascii="Times New Roman" w:hAnsi="Times New Roman"/>
          <w:color w:val="000000" w:themeColor="text1"/>
          <w:sz w:val="24"/>
          <w:szCs w:val="24"/>
          <w:u w:val="single"/>
          <w:lang w:bidi="th-TH"/>
          <w14:textFill>
            <w14:solidFill>
              <w14:schemeClr w14:val="tx1"/>
            </w14:solidFill>
          </w14:textFill>
        </w:rPr>
      </w:pPr>
      <w:r>
        <w:rPr>
          <w:rFonts w:ascii="Times New Roman" w:hAnsi="Times New Roman"/>
          <w:color w:val="000000" w:themeColor="text1"/>
          <w:sz w:val="24"/>
          <w:szCs w:val="24"/>
          <w:lang w:bidi="th-TH"/>
          <w14:textFill>
            <w14:solidFill>
              <w14:schemeClr w14:val="tx1"/>
            </w14:solidFill>
          </w14:textFill>
        </w:rPr>
        <w:t>投标人（盖章）：</w:t>
      </w:r>
    </w:p>
    <w:p w14:paraId="0B2CD1DF">
      <w:pPr>
        <w:pStyle w:val="26"/>
        <w:snapToGrid w:val="0"/>
        <w:spacing w:before="120" w:after="120" w:line="460" w:lineRule="exact"/>
        <w:ind w:firstLine="5508" w:firstLineChars="2295"/>
        <w:jc w:val="left"/>
        <w:rPr>
          <w:rFonts w:ascii="Times New Roman" w:hAnsi="Times New Roman"/>
          <w:color w:val="000000" w:themeColor="text1"/>
          <w:sz w:val="24"/>
          <w:szCs w:val="24"/>
          <w:u w:val="single"/>
          <w:lang w:bidi="th-TH"/>
          <w14:textFill>
            <w14:solidFill>
              <w14:schemeClr w14:val="tx1"/>
            </w14:solidFill>
          </w14:textFill>
        </w:rPr>
      </w:pPr>
      <w:r>
        <w:rPr>
          <w:rFonts w:ascii="Times New Roman" w:hAnsi="Times New Roman"/>
          <w:color w:val="000000" w:themeColor="text1"/>
          <w:sz w:val="24"/>
          <w:szCs w:val="24"/>
          <w:lang w:bidi="th-TH"/>
          <w14:textFill>
            <w14:solidFill>
              <w14:schemeClr w14:val="tx1"/>
            </w14:solidFill>
          </w14:textFill>
        </w:rPr>
        <w:t>日期：</w:t>
      </w:r>
      <w:r>
        <w:rPr>
          <w:rFonts w:ascii="Times New Roman" w:hAnsi="Times New Roman"/>
          <w:color w:val="000000" w:themeColor="text1"/>
          <w:sz w:val="24"/>
          <w:szCs w:val="24"/>
          <w:u w:val="single"/>
          <w:lang w:bidi="th-TH"/>
          <w14:textFill>
            <w14:solidFill>
              <w14:schemeClr w14:val="tx1"/>
            </w14:solidFill>
          </w14:textFill>
        </w:rPr>
        <w:t xml:space="preserve">   年  月  日</w:t>
      </w:r>
    </w:p>
    <w:p w14:paraId="517C0FE8">
      <w:pPr>
        <w:pStyle w:val="26"/>
        <w:snapToGrid w:val="0"/>
        <w:spacing w:before="120" w:after="120" w:line="460" w:lineRule="exact"/>
        <w:ind w:firstLine="5508" w:firstLineChars="2295"/>
        <w:jc w:val="left"/>
        <w:rPr>
          <w:rFonts w:ascii="Times New Roman" w:hAnsi="Times New Roman"/>
          <w:color w:val="000000" w:themeColor="text1"/>
          <w:sz w:val="24"/>
          <w:szCs w:val="24"/>
          <w:u w:val="single"/>
          <w:lang w:bidi="th-TH"/>
          <w14:textFill>
            <w14:solidFill>
              <w14:schemeClr w14:val="tx1"/>
            </w14:solidFill>
          </w14:textFill>
        </w:rPr>
      </w:pPr>
    </w:p>
    <w:p w14:paraId="1F7B2474">
      <w:pPr>
        <w:widowControl/>
        <w:jc w:val="left"/>
        <w:rPr>
          <w:rFonts w:ascii="宋体" w:hAnsi="宋体"/>
          <w:b/>
          <w:color w:val="000000" w:themeColor="text1"/>
          <w:kern w:val="0"/>
          <w:sz w:val="28"/>
          <w:szCs w:val="28"/>
          <w14:textFill>
            <w14:solidFill>
              <w14:schemeClr w14:val="tx1"/>
            </w14:solidFill>
          </w14:textFill>
        </w:rPr>
      </w:pPr>
      <w:r>
        <w:rPr>
          <w:rFonts w:hAnsi="宋体"/>
          <w:b/>
          <w:color w:val="000000" w:themeColor="text1"/>
          <w:kern w:val="0"/>
          <w:szCs w:val="28"/>
          <w14:textFill>
            <w14:solidFill>
              <w14:schemeClr w14:val="tx1"/>
            </w14:solidFill>
          </w14:textFill>
        </w:rPr>
        <w:br w:type="page"/>
      </w:r>
    </w:p>
    <w:p w14:paraId="52324291">
      <w:pPr>
        <w:pStyle w:val="26"/>
        <w:snapToGrid w:val="0"/>
        <w:spacing w:before="120" w:after="120" w:line="460" w:lineRule="exact"/>
        <w:jc w:val="left"/>
        <w:rPr>
          <w:rFonts w:ascii="Times New Roman" w:hAnsi="Times New Roman"/>
          <w:color w:val="000000" w:themeColor="text1"/>
          <w:sz w:val="24"/>
          <w:szCs w:val="24"/>
          <w:lang w:bidi="th-TH"/>
          <w14:textFill>
            <w14:solidFill>
              <w14:schemeClr w14:val="tx1"/>
            </w14:solidFill>
          </w14:textFill>
        </w:rPr>
      </w:pPr>
      <w:r>
        <w:rPr>
          <w:rFonts w:ascii="Times New Roman" w:hAnsi="Times New Roman"/>
          <w:color w:val="000000" w:themeColor="text1"/>
          <w:sz w:val="24"/>
          <w:szCs w:val="24"/>
          <w:lang w:bidi="th-TH"/>
          <w14:textFill>
            <w14:solidFill>
              <w14:schemeClr w14:val="tx1"/>
            </w14:solidFill>
          </w14:textFill>
        </w:rPr>
        <w:t>格式二：</w:t>
      </w:r>
    </w:p>
    <w:p w14:paraId="6D309901">
      <w:pPr>
        <w:pStyle w:val="26"/>
        <w:snapToGrid w:val="0"/>
        <w:spacing w:before="120" w:after="120" w:line="460" w:lineRule="exact"/>
        <w:jc w:val="center"/>
        <w:rPr>
          <w:rFonts w:ascii="Times New Roman" w:hAnsi="Times New Roman"/>
          <w:b/>
          <w:color w:val="000000" w:themeColor="text1"/>
          <w:szCs w:val="28"/>
          <w14:textFill>
            <w14:solidFill>
              <w14:schemeClr w14:val="tx1"/>
            </w14:solidFill>
          </w14:textFill>
        </w:rPr>
      </w:pPr>
    </w:p>
    <w:p w14:paraId="7C6A9D84">
      <w:pPr>
        <w:pStyle w:val="26"/>
        <w:snapToGrid w:val="0"/>
        <w:spacing w:before="120" w:after="120" w:line="460" w:lineRule="exact"/>
        <w:jc w:val="center"/>
        <w:rPr>
          <w:rFonts w:ascii="Times New Roman" w:hAnsi="Times New Roman"/>
          <w:b/>
          <w:color w:val="000000" w:themeColor="text1"/>
          <w:szCs w:val="28"/>
          <w14:textFill>
            <w14:solidFill>
              <w14:schemeClr w14:val="tx1"/>
            </w14:solidFill>
          </w14:textFill>
        </w:rPr>
      </w:pPr>
      <w:r>
        <w:rPr>
          <w:rFonts w:ascii="Times New Roman" w:hAnsi="Times New Roman"/>
          <w:b/>
          <w:color w:val="000000" w:themeColor="text1"/>
          <w:szCs w:val="28"/>
          <w14:textFill>
            <w14:solidFill>
              <w14:schemeClr w14:val="tx1"/>
            </w14:solidFill>
          </w14:textFill>
        </w:rPr>
        <w:t>授权委托书</w:t>
      </w:r>
    </w:p>
    <w:p w14:paraId="2129CF5C">
      <w:pPr>
        <w:pStyle w:val="26"/>
        <w:snapToGrid w:val="0"/>
        <w:spacing w:before="120" w:after="120" w:line="460" w:lineRule="exact"/>
        <w:jc w:val="center"/>
        <w:rPr>
          <w:rFonts w:ascii="Times New Roman" w:hAnsi="Times New Roman"/>
          <w:b/>
          <w:color w:val="000000" w:themeColor="text1"/>
          <w:szCs w:val="28"/>
          <w14:textFill>
            <w14:solidFill>
              <w14:schemeClr w14:val="tx1"/>
            </w14:solidFill>
          </w14:textFill>
        </w:rPr>
      </w:pPr>
    </w:p>
    <w:p w14:paraId="5C04C061">
      <w:pPr>
        <w:pStyle w:val="26"/>
        <w:snapToGrid w:val="0"/>
        <w:spacing w:before="120" w:after="120" w:line="460" w:lineRule="exact"/>
        <w:ind w:firstLine="420" w:firstLineChars="200"/>
        <w:jc w:val="left"/>
        <w:rPr>
          <w:rFonts w:ascii="Times New Roman" w:hAnsi="Times New Roman"/>
          <w:color w:val="000000" w:themeColor="text1"/>
          <w:sz w:val="21"/>
          <w:szCs w:val="21"/>
          <w:lang w:bidi="th-TH"/>
          <w14:textFill>
            <w14:solidFill>
              <w14:schemeClr w14:val="tx1"/>
            </w14:solidFill>
          </w14:textFill>
        </w:rPr>
      </w:pPr>
      <w:r>
        <w:rPr>
          <w:rFonts w:ascii="Times New Roman" w:hAnsi="Times New Roman"/>
          <w:color w:val="000000" w:themeColor="text1"/>
          <w:sz w:val="21"/>
          <w:szCs w:val="21"/>
          <w:lang w:bidi="th-TH"/>
          <w14:textFill>
            <w14:solidFill>
              <w14:schemeClr w14:val="tx1"/>
            </w14:solidFill>
          </w14:textFill>
        </w:rPr>
        <w:t>本授权委托书声明：我</w:t>
      </w:r>
      <w:r>
        <w:rPr>
          <w:rFonts w:ascii="Times New Roman" w:hAnsi="Times New Roman"/>
          <w:color w:val="000000" w:themeColor="text1"/>
          <w:sz w:val="21"/>
          <w:szCs w:val="21"/>
          <w:u w:val="single"/>
          <w:lang w:bidi="th-TH"/>
          <w14:textFill>
            <w14:solidFill>
              <w14:schemeClr w14:val="tx1"/>
            </w14:solidFill>
          </w14:textFill>
        </w:rPr>
        <w:t>（姓名）</w:t>
      </w:r>
      <w:r>
        <w:rPr>
          <w:rFonts w:ascii="Times New Roman" w:hAnsi="Times New Roman"/>
          <w:color w:val="000000" w:themeColor="text1"/>
          <w:sz w:val="21"/>
          <w:szCs w:val="21"/>
          <w:lang w:bidi="th-TH"/>
          <w14:textFill>
            <w14:solidFill>
              <w14:schemeClr w14:val="tx1"/>
            </w14:solidFill>
          </w14:textFill>
        </w:rPr>
        <w:t>系</w:t>
      </w:r>
      <w:r>
        <w:rPr>
          <w:rFonts w:ascii="Times New Roman" w:hAnsi="Times New Roman"/>
          <w:color w:val="000000" w:themeColor="text1"/>
          <w:sz w:val="21"/>
          <w:szCs w:val="21"/>
          <w:u w:val="single"/>
          <w:lang w:bidi="th-TH"/>
          <w14:textFill>
            <w14:solidFill>
              <w14:schemeClr w14:val="tx1"/>
            </w14:solidFill>
          </w14:textFill>
        </w:rPr>
        <w:t>（投标人名称）</w:t>
      </w:r>
      <w:r>
        <w:rPr>
          <w:rFonts w:ascii="Times New Roman" w:hAnsi="Times New Roman"/>
          <w:color w:val="000000" w:themeColor="text1"/>
          <w:sz w:val="21"/>
          <w:szCs w:val="21"/>
          <w:lang w:bidi="th-TH"/>
          <w14:textFill>
            <w14:solidFill>
              <w14:schemeClr w14:val="tx1"/>
            </w14:solidFill>
          </w14:textFill>
        </w:rPr>
        <w:t>的</w:t>
      </w:r>
      <w:r>
        <w:rPr>
          <w:rFonts w:hint="eastAsia" w:ascii="Times New Roman" w:hAnsi="Times New Roman"/>
          <w:color w:val="000000" w:themeColor="text1"/>
          <w:sz w:val="21"/>
          <w:szCs w:val="21"/>
          <w:lang w:bidi="th-TH"/>
          <w14:textFill>
            <w14:solidFill>
              <w14:schemeClr w14:val="tx1"/>
            </w14:solidFill>
          </w14:textFill>
        </w:rPr>
        <w:t>法定代表人</w:t>
      </w:r>
      <w:r>
        <w:rPr>
          <w:rFonts w:ascii="Times New Roman" w:hAnsi="Times New Roman"/>
          <w:color w:val="000000" w:themeColor="text1"/>
          <w:sz w:val="21"/>
          <w:szCs w:val="21"/>
          <w:lang w:bidi="th-TH"/>
          <w14:textFill>
            <w14:solidFill>
              <w14:schemeClr w14:val="tx1"/>
            </w14:solidFill>
          </w14:textFill>
        </w:rPr>
        <w:t>，现授权委托</w:t>
      </w:r>
      <w:r>
        <w:rPr>
          <w:rFonts w:ascii="Times New Roman" w:hAnsi="Times New Roman"/>
          <w:color w:val="000000" w:themeColor="text1"/>
          <w:sz w:val="21"/>
          <w:szCs w:val="21"/>
          <w:u w:val="single"/>
          <w:lang w:bidi="th-TH"/>
          <w14:textFill>
            <w14:solidFill>
              <w14:schemeClr w14:val="tx1"/>
            </w14:solidFill>
          </w14:textFill>
        </w:rPr>
        <w:t>（单位名称）</w:t>
      </w:r>
      <w:r>
        <w:rPr>
          <w:rFonts w:ascii="Times New Roman" w:hAnsi="Times New Roman"/>
          <w:color w:val="000000" w:themeColor="text1"/>
          <w:sz w:val="21"/>
          <w:szCs w:val="21"/>
          <w:lang w:bidi="th-TH"/>
          <w14:textFill>
            <w14:solidFill>
              <w14:schemeClr w14:val="tx1"/>
            </w14:solidFill>
          </w14:textFill>
        </w:rPr>
        <w:t>的</w:t>
      </w:r>
      <w:r>
        <w:rPr>
          <w:rFonts w:ascii="Times New Roman" w:hAnsi="Times New Roman"/>
          <w:color w:val="000000" w:themeColor="text1"/>
          <w:sz w:val="21"/>
          <w:szCs w:val="21"/>
          <w:u w:val="single"/>
          <w:lang w:bidi="th-TH"/>
          <w14:textFill>
            <w14:solidFill>
              <w14:schemeClr w14:val="tx1"/>
            </w14:solidFill>
          </w14:textFill>
        </w:rPr>
        <w:t>（姓名）</w:t>
      </w:r>
      <w:r>
        <w:rPr>
          <w:rFonts w:ascii="Times New Roman" w:hAnsi="Times New Roman"/>
          <w:color w:val="000000" w:themeColor="text1"/>
          <w:sz w:val="21"/>
          <w:szCs w:val="21"/>
          <w:lang w:bidi="th-TH"/>
          <w14:textFill>
            <w14:solidFill>
              <w14:schemeClr w14:val="tx1"/>
            </w14:solidFill>
          </w14:textFill>
        </w:rPr>
        <w:t>为我公司的代理人，以本公司的名义参加（</w:t>
      </w:r>
      <w:r>
        <w:rPr>
          <w:rFonts w:ascii="Times New Roman" w:hAnsi="Times New Roman"/>
          <w:color w:val="000000" w:themeColor="text1"/>
          <w:sz w:val="21"/>
          <w:szCs w:val="21"/>
          <w:u w:val="single"/>
          <w:lang w:bidi="th-TH"/>
          <w14:textFill>
            <w14:solidFill>
              <w14:schemeClr w14:val="tx1"/>
            </w14:solidFill>
          </w14:textFill>
        </w:rPr>
        <w:t>招标项目名称）</w:t>
      </w:r>
      <w:r>
        <w:rPr>
          <w:rFonts w:ascii="Times New Roman" w:hAnsi="Times New Roman"/>
          <w:color w:val="000000" w:themeColor="text1"/>
          <w:sz w:val="21"/>
          <w:szCs w:val="21"/>
          <w:lang w:bidi="th-TH"/>
          <w14:textFill>
            <w14:solidFill>
              <w14:schemeClr w14:val="tx1"/>
            </w14:solidFill>
          </w14:textFill>
        </w:rPr>
        <w:t>的投标活动。代理人在开标、评标、合同谈判过程中所签署的一切文件和处理与之有关的一切事务，我均予以承认。</w:t>
      </w:r>
    </w:p>
    <w:p w14:paraId="3D553FC6">
      <w:pPr>
        <w:pStyle w:val="26"/>
        <w:snapToGrid w:val="0"/>
        <w:spacing w:before="120" w:after="120" w:line="460" w:lineRule="exact"/>
        <w:jc w:val="left"/>
        <w:rPr>
          <w:rFonts w:ascii="Times New Roman" w:hAnsi="Times New Roman"/>
          <w:color w:val="000000" w:themeColor="text1"/>
          <w:sz w:val="21"/>
          <w:szCs w:val="21"/>
          <w:lang w:bidi="th-TH"/>
          <w14:textFill>
            <w14:solidFill>
              <w14:schemeClr w14:val="tx1"/>
            </w14:solidFill>
          </w14:textFill>
        </w:rPr>
      </w:pPr>
      <w:r>
        <w:rPr>
          <w:rFonts w:ascii="Times New Roman" w:hAnsi="Times New Roman"/>
          <w:color w:val="000000" w:themeColor="text1"/>
          <w:sz w:val="21"/>
          <w:szCs w:val="21"/>
          <w:lang w:bidi="th-TH"/>
          <w14:textFill>
            <w14:solidFill>
              <w14:schemeClr w14:val="tx1"/>
            </w14:solidFill>
          </w14:textFill>
        </w:rPr>
        <w:t xml:space="preserve">代理人：                性别：           年龄：        </w:t>
      </w:r>
    </w:p>
    <w:p w14:paraId="0A7C7669">
      <w:pPr>
        <w:pStyle w:val="26"/>
        <w:snapToGrid w:val="0"/>
        <w:spacing w:before="120" w:after="120" w:line="460" w:lineRule="exact"/>
        <w:jc w:val="left"/>
        <w:rPr>
          <w:rFonts w:ascii="Times New Roman" w:hAnsi="Times New Roman"/>
          <w:color w:val="000000" w:themeColor="text1"/>
          <w:sz w:val="21"/>
          <w:szCs w:val="21"/>
          <w:lang w:bidi="th-TH"/>
          <w14:textFill>
            <w14:solidFill>
              <w14:schemeClr w14:val="tx1"/>
            </w14:solidFill>
          </w14:textFill>
        </w:rPr>
      </w:pPr>
      <w:r>
        <w:rPr>
          <w:rFonts w:ascii="Times New Roman" w:hAnsi="Times New Roman"/>
          <w:color w:val="000000" w:themeColor="text1"/>
          <w:sz w:val="21"/>
          <w:szCs w:val="21"/>
          <w:lang w:bidi="th-TH"/>
          <w14:textFill>
            <w14:solidFill>
              <w14:schemeClr w14:val="tx1"/>
            </w14:solidFill>
          </w14:textFill>
        </w:rPr>
        <w:t>单位：                  部门：           职务：</w:t>
      </w:r>
    </w:p>
    <w:p w14:paraId="63D747B3">
      <w:pPr>
        <w:pStyle w:val="26"/>
        <w:snapToGrid w:val="0"/>
        <w:spacing w:before="120" w:after="120" w:line="460" w:lineRule="exact"/>
        <w:jc w:val="left"/>
        <w:rPr>
          <w:rFonts w:ascii="Times New Roman" w:hAnsi="Times New Roman"/>
          <w:color w:val="000000" w:themeColor="text1"/>
          <w:sz w:val="21"/>
          <w:szCs w:val="21"/>
          <w:lang w:bidi="th-TH"/>
          <w14:textFill>
            <w14:solidFill>
              <w14:schemeClr w14:val="tx1"/>
            </w14:solidFill>
          </w14:textFill>
        </w:rPr>
      </w:pPr>
      <w:r>
        <w:rPr>
          <w:rFonts w:hint="eastAsia" w:ascii="Times New Roman" w:hAnsi="Times New Roman"/>
          <w:color w:val="000000" w:themeColor="text1"/>
          <w:sz w:val="21"/>
          <w:szCs w:val="21"/>
          <w:lang w:bidi="th-TH"/>
          <w14:textFill>
            <w14:solidFill>
              <w14:schemeClr w14:val="tx1"/>
            </w14:solidFill>
          </w14:textFill>
        </w:rPr>
        <w:t>联系电话：</w:t>
      </w:r>
    </w:p>
    <w:p w14:paraId="54E688A6">
      <w:pPr>
        <w:pStyle w:val="26"/>
        <w:snapToGrid w:val="0"/>
        <w:spacing w:before="120" w:after="120" w:line="460" w:lineRule="exact"/>
        <w:jc w:val="left"/>
        <w:rPr>
          <w:rFonts w:ascii="Times New Roman" w:hAnsi="Times New Roman"/>
          <w:color w:val="000000" w:themeColor="text1"/>
          <w:sz w:val="21"/>
          <w:szCs w:val="21"/>
          <w:lang w:bidi="th-TH"/>
          <w14:textFill>
            <w14:solidFill>
              <w14:schemeClr w14:val="tx1"/>
            </w14:solidFill>
          </w14:textFill>
        </w:rPr>
      </w:pPr>
      <w:r>
        <w:rPr>
          <w:rFonts w:ascii="Times New Roman" w:hAnsi="Times New Roman"/>
          <w:color w:val="000000" w:themeColor="text1"/>
          <w:sz w:val="21"/>
          <w:szCs w:val="21"/>
          <w:lang w:bidi="th-TH"/>
          <w14:textFill>
            <w14:solidFill>
              <w14:schemeClr w14:val="tx1"/>
            </w14:solidFill>
          </w14:textFill>
        </w:rPr>
        <w:t>代理人无转委托权。特此委托。</w:t>
      </w:r>
    </w:p>
    <w:p w14:paraId="2B15345A">
      <w:pPr>
        <w:pStyle w:val="26"/>
        <w:snapToGrid w:val="0"/>
        <w:spacing w:before="120" w:after="120" w:line="460" w:lineRule="exact"/>
        <w:jc w:val="left"/>
        <w:rPr>
          <w:rFonts w:ascii="Times New Roman" w:hAnsi="Times New Roman"/>
          <w:color w:val="000000" w:themeColor="text1"/>
          <w:sz w:val="21"/>
          <w:szCs w:val="21"/>
          <w:lang w:bidi="th-TH"/>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22860</wp:posOffset>
                </wp:positionV>
                <wp:extent cx="1943100" cy="1089660"/>
                <wp:effectExtent l="5080" t="4445" r="13970" b="10795"/>
                <wp:wrapNone/>
                <wp:docPr id="4" name="Rectangle 2"/>
                <wp:cNvGraphicFramePr/>
                <a:graphic xmlns:a="http://schemas.openxmlformats.org/drawingml/2006/main">
                  <a:graphicData uri="http://schemas.microsoft.com/office/word/2010/wordprocessingShape">
                    <wps:wsp>
                      <wps:cNvSpPr/>
                      <wps:spPr bwMode="auto">
                        <a:xfrm>
                          <a:off x="0" y="0"/>
                          <a:ext cx="1943100" cy="1089660"/>
                        </a:xfrm>
                        <a:prstGeom prst="rect">
                          <a:avLst/>
                        </a:prstGeom>
                        <a:solidFill>
                          <a:srgbClr val="FFFFFF"/>
                        </a:solidFill>
                        <a:ln w="9525" cmpd="sng">
                          <a:solidFill>
                            <a:srgbClr val="000000"/>
                          </a:solidFill>
                          <a:miter lim="800000"/>
                        </a:ln>
                        <a:effectLst/>
                      </wps:spPr>
                      <wps:txbx>
                        <w:txbxContent>
                          <w:p w14:paraId="5482CEAE">
                            <w:pPr>
                              <w:jc w:val="center"/>
                              <w:rPr>
                                <w:rFonts w:ascii="宋体" w:hAnsi="宋体"/>
                                <w:sz w:val="24"/>
                              </w:rPr>
                            </w:pPr>
                          </w:p>
                          <w:p w14:paraId="308F979D">
                            <w:pPr>
                              <w:jc w:val="center"/>
                              <w:rPr>
                                <w:rFonts w:ascii="宋体" w:hAnsi="宋体"/>
                                <w:szCs w:val="21"/>
                              </w:rPr>
                            </w:pPr>
                            <w:r>
                              <w:rPr>
                                <w:rFonts w:hint="eastAsia" w:ascii="宋体" w:hAnsi="宋体"/>
                                <w:szCs w:val="21"/>
                              </w:rPr>
                              <w:t>授权委托人</w:t>
                            </w:r>
                          </w:p>
                          <w:p w14:paraId="393FBA6F">
                            <w:pPr>
                              <w:jc w:val="center"/>
                              <w:rPr>
                                <w:rFonts w:ascii="宋体" w:hAnsi="宋体"/>
                                <w:szCs w:val="21"/>
                              </w:rPr>
                            </w:pPr>
                            <w:r>
                              <w:rPr>
                                <w:rFonts w:hint="eastAsia" w:ascii="宋体" w:hAnsi="宋体"/>
                                <w:szCs w:val="21"/>
                              </w:rPr>
                              <w:t>身份证复印件或原件的彩色扫描件</w:t>
                            </w: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3.3pt;margin-top:1.8pt;height:85.8pt;width:153pt;z-index:251660288;mso-width-relative:page;mso-height-relative:page;" fillcolor="#FFFFFF" filled="t" stroked="t" coordsize="21600,21600" o:gfxdata="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Jvm5T9QA&#10;AAAHAQAADwAAAAAAAAABACAAAAAiAAAAZHJzL2Rvd25yZXYueG1sUEsBAhQAFAAAAAgAh07iQP1I&#10;5TMjAgAAZwQAAA4AAAAAAAAAAQAgAAAAIwEAAGRycy9lMm9Eb2MueG1sUEsFBgAAAAAGAAYAWQEA&#10;ALgFAAAAAA==&#10;">
                <v:fill on="t" focussize="0,0"/>
                <v:stroke color="#000000" miterlimit="8" joinstyle="miter"/>
                <v:imagedata o:title=""/>
                <o:lock v:ext="edit" aspectratio="f"/>
                <v:textbox>
                  <w:txbxContent>
                    <w:p w14:paraId="5482CEAE">
                      <w:pPr>
                        <w:jc w:val="center"/>
                        <w:rPr>
                          <w:rFonts w:ascii="宋体" w:hAnsi="宋体"/>
                          <w:sz w:val="24"/>
                        </w:rPr>
                      </w:pPr>
                    </w:p>
                    <w:p w14:paraId="308F979D">
                      <w:pPr>
                        <w:jc w:val="center"/>
                        <w:rPr>
                          <w:rFonts w:ascii="宋体" w:hAnsi="宋体"/>
                          <w:szCs w:val="21"/>
                        </w:rPr>
                      </w:pPr>
                      <w:r>
                        <w:rPr>
                          <w:rFonts w:hint="eastAsia" w:ascii="宋体" w:hAnsi="宋体"/>
                          <w:szCs w:val="21"/>
                        </w:rPr>
                        <w:t>授权委托人</w:t>
                      </w:r>
                    </w:p>
                    <w:p w14:paraId="393FBA6F">
                      <w:pPr>
                        <w:jc w:val="center"/>
                        <w:rPr>
                          <w:rFonts w:ascii="宋体" w:hAnsi="宋体"/>
                          <w:szCs w:val="21"/>
                        </w:rPr>
                      </w:pPr>
                      <w:r>
                        <w:rPr>
                          <w:rFonts w:hint="eastAsia" w:ascii="宋体" w:hAnsi="宋体"/>
                          <w:szCs w:val="21"/>
                        </w:rPr>
                        <w:t>身份证复印件或原件的彩色扫描件</w:t>
                      </w:r>
                    </w:p>
                  </w:txbxContent>
                </v:textbox>
              </v:rect>
            </w:pict>
          </mc:Fallback>
        </mc:AlternateContent>
      </w:r>
    </w:p>
    <w:p w14:paraId="678637AF">
      <w:pPr>
        <w:pStyle w:val="26"/>
        <w:snapToGrid w:val="0"/>
        <w:spacing w:before="120" w:after="120" w:line="460" w:lineRule="exact"/>
        <w:jc w:val="left"/>
        <w:rPr>
          <w:rFonts w:ascii="Times New Roman" w:hAnsi="Times New Roman"/>
          <w:color w:val="000000" w:themeColor="text1"/>
          <w:sz w:val="21"/>
          <w:szCs w:val="21"/>
          <w:lang w:bidi="th-TH"/>
          <w14:textFill>
            <w14:solidFill>
              <w14:schemeClr w14:val="tx1"/>
            </w14:solidFill>
          </w14:textFill>
        </w:rPr>
      </w:pPr>
    </w:p>
    <w:p w14:paraId="2313305C">
      <w:pPr>
        <w:pStyle w:val="26"/>
        <w:snapToGrid w:val="0"/>
        <w:spacing w:before="120" w:after="120" w:line="460" w:lineRule="exact"/>
        <w:jc w:val="left"/>
        <w:rPr>
          <w:rFonts w:ascii="Times New Roman" w:hAnsi="Times New Roman"/>
          <w:color w:val="000000" w:themeColor="text1"/>
          <w:sz w:val="21"/>
          <w:szCs w:val="21"/>
          <w:lang w:bidi="th-TH"/>
          <w14:textFill>
            <w14:solidFill>
              <w14:schemeClr w14:val="tx1"/>
            </w14:solidFill>
          </w14:textFill>
        </w:rPr>
      </w:pPr>
    </w:p>
    <w:p w14:paraId="3232EF99">
      <w:pPr>
        <w:pStyle w:val="26"/>
        <w:snapToGrid w:val="0"/>
        <w:spacing w:before="120" w:after="120" w:line="460" w:lineRule="exact"/>
        <w:jc w:val="left"/>
        <w:rPr>
          <w:rFonts w:ascii="Times New Roman" w:hAnsi="Times New Roman"/>
          <w:color w:val="000000" w:themeColor="text1"/>
          <w:sz w:val="21"/>
          <w:szCs w:val="21"/>
          <w:u w:val="single"/>
          <w:lang w:bidi="th-TH"/>
          <w14:textFill>
            <w14:solidFill>
              <w14:schemeClr w14:val="tx1"/>
            </w14:solidFill>
          </w14:textFill>
        </w:rPr>
      </w:pPr>
      <w:r>
        <w:rPr>
          <w:rFonts w:ascii="Times New Roman" w:hAnsi="Times New Roman"/>
          <w:color w:val="000000" w:themeColor="text1"/>
          <w:sz w:val="21"/>
          <w:szCs w:val="21"/>
          <w:lang w:bidi="th-TH"/>
          <w14:textFill>
            <w14:solidFill>
              <w14:schemeClr w14:val="tx1"/>
            </w14:solidFill>
          </w14:textFill>
        </w:rPr>
        <w:t>投标人（盖章）：</w:t>
      </w:r>
    </w:p>
    <w:p w14:paraId="671E8092">
      <w:pPr>
        <w:pStyle w:val="26"/>
        <w:snapToGrid w:val="0"/>
        <w:spacing w:before="120" w:after="120" w:line="460" w:lineRule="exact"/>
        <w:jc w:val="left"/>
        <w:rPr>
          <w:rFonts w:ascii="Times New Roman" w:hAnsi="Times New Roman"/>
          <w:color w:val="000000" w:themeColor="text1"/>
          <w:sz w:val="21"/>
          <w:szCs w:val="21"/>
          <w:lang w:bidi="th-TH"/>
          <w14:textFill>
            <w14:solidFill>
              <w14:schemeClr w14:val="tx1"/>
            </w14:solidFill>
          </w14:textFill>
        </w:rPr>
      </w:pPr>
      <w:r>
        <w:rPr>
          <w:rFonts w:ascii="Times New Roman" w:hAnsi="Times New Roman"/>
          <w:color w:val="000000" w:themeColor="text1"/>
          <w:sz w:val="21"/>
          <w:szCs w:val="21"/>
          <w:lang w:bidi="th-TH"/>
          <w14:textFill>
            <w14:solidFill>
              <w14:schemeClr w14:val="tx1"/>
            </w14:solidFill>
          </w14:textFill>
        </w:rPr>
        <w:t>法定代表人（签字或盖章）：</w:t>
      </w:r>
    </w:p>
    <w:p w14:paraId="18373F87">
      <w:pPr>
        <w:pStyle w:val="26"/>
        <w:snapToGrid w:val="0"/>
        <w:spacing w:before="120" w:after="120" w:line="460" w:lineRule="exact"/>
        <w:jc w:val="left"/>
        <w:rPr>
          <w:rFonts w:ascii="Times New Roman" w:hAnsi="Times New Roman"/>
          <w:color w:val="000000" w:themeColor="text1"/>
          <w:sz w:val="24"/>
          <w:szCs w:val="24"/>
          <w:u w:val="single"/>
          <w:lang w:bidi="th-TH"/>
          <w14:textFill>
            <w14:solidFill>
              <w14:schemeClr w14:val="tx1"/>
            </w14:solidFill>
          </w14:textFill>
        </w:rPr>
      </w:pPr>
      <w:r>
        <w:rPr>
          <w:rFonts w:ascii="Times New Roman" w:hAnsi="Times New Roman"/>
          <w:color w:val="000000" w:themeColor="text1"/>
          <w:sz w:val="21"/>
          <w:szCs w:val="21"/>
          <w:lang w:bidi="th-TH"/>
          <w14:textFill>
            <w14:solidFill>
              <w14:schemeClr w14:val="tx1"/>
            </w14:solidFill>
          </w14:textFill>
        </w:rPr>
        <w:t>日期：</w:t>
      </w:r>
      <w:r>
        <w:rPr>
          <w:rFonts w:ascii="Times New Roman" w:hAnsi="Times New Roman"/>
          <w:color w:val="000000" w:themeColor="text1"/>
          <w:sz w:val="21"/>
          <w:szCs w:val="21"/>
          <w:u w:val="single"/>
          <w:lang w:bidi="th-TH"/>
          <w14:textFill>
            <w14:solidFill>
              <w14:schemeClr w14:val="tx1"/>
            </w14:solidFill>
          </w14:textFill>
        </w:rPr>
        <w:t xml:space="preserve">   年  月  日</w:t>
      </w:r>
    </w:p>
    <w:p w14:paraId="1A8CD365">
      <w:pPr>
        <w:pStyle w:val="26"/>
        <w:snapToGrid w:val="0"/>
        <w:spacing w:before="120" w:after="120" w:line="460" w:lineRule="exact"/>
        <w:jc w:val="left"/>
        <w:rPr>
          <w:rFonts w:ascii="Times New Roman" w:hAnsi="Times New Roman"/>
          <w:color w:val="000000" w:themeColor="text1"/>
          <w:lang w:bidi="th-TH"/>
          <w14:textFill>
            <w14:solidFill>
              <w14:schemeClr w14:val="tx1"/>
            </w14:solidFill>
          </w14:textFill>
        </w:rPr>
      </w:pPr>
    </w:p>
    <w:p w14:paraId="279689C2">
      <w:pPr>
        <w:pStyle w:val="26"/>
        <w:snapToGrid w:val="0"/>
        <w:spacing w:before="120" w:after="120" w:line="460" w:lineRule="exact"/>
        <w:rPr>
          <w:rFonts w:ascii="Times New Roman" w:hAnsi="Times New Roman"/>
          <w:color w:val="000000" w:themeColor="text1"/>
          <w:sz w:val="24"/>
          <w:szCs w:val="24"/>
          <w:lang w:bidi="th-TH"/>
          <w14:textFill>
            <w14:solidFill>
              <w14:schemeClr w14:val="tx1"/>
            </w14:solidFill>
          </w14:textFill>
        </w:rPr>
      </w:pPr>
      <w:r>
        <w:rPr>
          <w:rFonts w:ascii="Times New Roman" w:hAnsi="Times New Roman"/>
          <w:color w:val="000000" w:themeColor="text1"/>
          <w:lang w:bidi="th-TH"/>
          <w14:textFill>
            <w14:solidFill>
              <w14:schemeClr w14:val="tx1"/>
            </w14:solidFill>
          </w14:textFill>
        </w:rPr>
        <w:br w:type="page"/>
      </w:r>
      <w:r>
        <w:rPr>
          <w:rFonts w:ascii="Times New Roman" w:hAnsi="Times New Roman"/>
          <w:color w:val="000000" w:themeColor="text1"/>
          <w:sz w:val="24"/>
          <w:szCs w:val="24"/>
          <w:lang w:bidi="th-TH"/>
          <w14:textFill>
            <w14:solidFill>
              <w14:schemeClr w14:val="tx1"/>
            </w14:solidFill>
          </w14:textFill>
        </w:rPr>
        <w:t>格式三：</w:t>
      </w:r>
    </w:p>
    <w:p w14:paraId="552F9691">
      <w:pPr>
        <w:pStyle w:val="26"/>
        <w:snapToGrid w:val="0"/>
        <w:spacing w:line="480" w:lineRule="exact"/>
        <w:jc w:val="center"/>
        <w:rPr>
          <w:rFonts w:ascii="Times New Roman" w:hAnsi="Times New Roman"/>
          <w:b/>
          <w:color w:val="000000" w:themeColor="text1"/>
          <w:szCs w:val="28"/>
          <w14:textFill>
            <w14:solidFill>
              <w14:schemeClr w14:val="tx1"/>
            </w14:solidFill>
          </w14:textFill>
        </w:rPr>
      </w:pPr>
      <w:r>
        <w:rPr>
          <w:rFonts w:ascii="Times New Roman" w:hAnsi="Times New Roman"/>
          <w:b/>
          <w:color w:val="000000" w:themeColor="text1"/>
          <w:szCs w:val="28"/>
          <w14:textFill>
            <w14:solidFill>
              <w14:schemeClr w14:val="tx1"/>
            </w14:solidFill>
          </w14:textFill>
        </w:rPr>
        <w:t>投标函</w:t>
      </w:r>
    </w:p>
    <w:p w14:paraId="1DB01045">
      <w:pPr>
        <w:pStyle w:val="26"/>
        <w:snapToGrid w:val="0"/>
        <w:spacing w:line="480" w:lineRule="exact"/>
        <w:jc w:val="center"/>
        <w:rPr>
          <w:rFonts w:ascii="Times New Roman" w:hAnsi="Times New Roman"/>
          <w:b/>
          <w:color w:val="000000" w:themeColor="text1"/>
          <w:szCs w:val="28"/>
          <w14:textFill>
            <w14:solidFill>
              <w14:schemeClr w14:val="tx1"/>
            </w14:solidFill>
          </w14:textFill>
        </w:rPr>
      </w:pPr>
    </w:p>
    <w:p w14:paraId="066CE782">
      <w:pPr>
        <w:spacing w:line="4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（招标人名称）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1AFA21CC">
      <w:pPr>
        <w:adjustRightInd w:val="0"/>
        <w:snapToGrid w:val="0"/>
        <w:spacing w:line="42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根据已收到的</w:t>
      </w:r>
      <w:r>
        <w:rPr>
          <w:rFonts w:hint="eastAsia" w:ascii="宋体" w:hAnsi="宋体"/>
          <w:color w:val="000000" w:themeColor="text1"/>
          <w:kern w:val="0"/>
          <w:szCs w:val="21"/>
          <w:u w:val="single"/>
          <w:lang w:eastAsia="zh-CN"/>
          <w14:textFill>
            <w14:solidFill>
              <w14:schemeClr w14:val="tx1"/>
            </w14:solidFill>
          </w14:textFill>
        </w:rPr>
        <w:t>大丰区农村生活污水智慧管理平台（二期）</w:t>
      </w:r>
      <w:r>
        <w:rPr>
          <w:rFonts w:hint="eastAsia" w:ascii="宋体" w:hAnsi="宋体"/>
          <w:color w:val="000000" w:themeColor="text1"/>
          <w:kern w:val="0"/>
          <w:szCs w:val="21"/>
          <w14:textFill>
            <w14:solidFill>
              <w14:schemeClr w14:val="tx1"/>
            </w14:solidFill>
          </w14:textFill>
        </w:rPr>
        <w:t>招标文件，我单位经考察和研究招标文件后，</w:t>
      </w:r>
      <w:r>
        <w:rPr>
          <w:rFonts w:hint="eastAsia" w:ascii="宋体" w:hAnsi="TimesNewRomanPSMT" w:cs="宋体"/>
          <w:color w:val="000000" w:themeColor="text1"/>
          <w:kern w:val="0"/>
          <w:szCs w:val="21"/>
          <w14:textFill>
            <w14:solidFill>
              <w14:schemeClr w14:val="tx1"/>
            </w14:solidFill>
          </w14:textFill>
        </w:rPr>
        <w:t>我方愿</w:t>
      </w:r>
      <w:r>
        <w:rPr>
          <w:rFonts w:hint="eastAsia" w:ascii="宋体" w:hAnsi="宋体"/>
          <w:color w:val="000000" w:themeColor="text1"/>
          <w:szCs w:val="21"/>
          <w14:textFill>
            <w14:solidFill>
              <w14:schemeClr w14:val="tx1"/>
            </w14:solidFill>
          </w14:textFill>
        </w:rPr>
        <w:t>按人民币（大写）</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元（小写：</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元）的投标报价，</w:t>
      </w:r>
      <w:r>
        <w:rPr>
          <w:rFonts w:hint="eastAsia" w:ascii="宋体" w:hAnsi="TimesNewRomanPSMT" w:cs="宋体"/>
          <w:color w:val="000000" w:themeColor="text1"/>
          <w:kern w:val="0"/>
          <w:szCs w:val="21"/>
          <w14:textFill>
            <w14:solidFill>
              <w14:schemeClr w14:val="tx1"/>
            </w14:solidFill>
          </w14:textFill>
        </w:rPr>
        <w:t>按招标文件规定的服务期限、内容和合同约定，实施和完成本项目全部内容，并承担法律法规规定的责任和义务</w:t>
      </w:r>
      <w:r>
        <w:rPr>
          <w:rFonts w:hint="eastAsia" w:ascii="宋体" w:hAnsi="宋体"/>
          <w:snapToGrid w:val="0"/>
          <w:color w:val="000000" w:themeColor="text1"/>
          <w:kern w:val="0"/>
          <w:szCs w:val="21"/>
          <w14:textFill>
            <w14:solidFill>
              <w14:schemeClr w14:val="tx1"/>
            </w14:solidFill>
          </w14:textFill>
        </w:rPr>
        <w:t>。</w:t>
      </w:r>
    </w:p>
    <w:p w14:paraId="08EF5219">
      <w:pPr>
        <w:adjustRightInd w:val="0"/>
        <w:snapToGrid w:val="0"/>
        <w:spacing w:line="42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s="宋体"/>
          <w:color w:val="000000" w:themeColor="text1"/>
          <w:spacing w:val="4"/>
          <w:szCs w:val="21"/>
          <w14:textFill>
            <w14:solidFill>
              <w14:schemeClr w14:val="tx1"/>
            </w14:solidFill>
          </w14:textFill>
        </w:rPr>
        <w:t>我单位承诺：</w:t>
      </w:r>
      <w:r>
        <w:rPr>
          <w:rFonts w:hint="eastAsia" w:ascii="宋体" w:hAnsi="宋体" w:cs="宋体"/>
          <w:color w:val="000000" w:themeColor="text1"/>
          <w:szCs w:val="21"/>
          <w14:textFill>
            <w14:solidFill>
              <w14:schemeClr w14:val="tx1"/>
            </w14:solidFill>
          </w14:textFill>
        </w:rPr>
        <w:t>如我单位中标，保证</w:t>
      </w:r>
      <w:r>
        <w:rPr>
          <w:rFonts w:hint="eastAsia" w:ascii="宋体" w:hAnsi="宋体" w:cs="宋体"/>
          <w:color w:val="000000" w:themeColor="text1"/>
          <w:szCs w:val="21"/>
          <w:u w:val="single"/>
          <w14:textFill>
            <w14:solidFill>
              <w14:schemeClr w14:val="tx1"/>
            </w14:solidFill>
          </w14:textFill>
        </w:rPr>
        <w:t>在</w:t>
      </w:r>
      <w:r>
        <w:rPr>
          <w:rStyle w:val="197"/>
          <w:rFonts w:hint="eastAsia" w:ascii="宋体" w:hAnsi="宋体" w:cs="宋体"/>
          <w:color w:val="000000" w:themeColor="text1"/>
          <w:u w:val="single"/>
          <w:shd w:val="clear" w:color="auto" w:fill="FFFFFF"/>
          <w14:textFill>
            <w14:solidFill>
              <w14:schemeClr w14:val="tx1"/>
            </w14:solidFill>
          </w14:textFill>
        </w:rPr>
        <w:t>接到贵单位通知之日起</w:t>
      </w:r>
      <w:r>
        <w:rPr>
          <w:rStyle w:val="197"/>
          <w:rFonts w:hint="eastAsia" w:ascii="宋体" w:hAnsi="宋体" w:cs="宋体"/>
          <w:color w:val="000000" w:themeColor="text1"/>
          <w:u w:val="single"/>
          <w:shd w:val="clear" w:color="auto" w:fill="FFFFFF"/>
          <w:lang w:val="en-US" w:eastAsia="zh-CN"/>
          <w14:textFill>
            <w14:solidFill>
              <w14:schemeClr w14:val="tx1"/>
            </w14:solidFill>
          </w14:textFill>
        </w:rPr>
        <w:t>90</w:t>
      </w:r>
      <w:r>
        <w:rPr>
          <w:rStyle w:val="197"/>
          <w:rFonts w:hint="eastAsia" w:ascii="宋体" w:hAnsi="宋体" w:cs="宋体"/>
          <w:color w:val="000000" w:themeColor="text1"/>
          <w:u w:val="single"/>
          <w:shd w:val="clear" w:color="auto" w:fill="FFFFFF"/>
          <w14:textFill>
            <w14:solidFill>
              <w14:schemeClr w14:val="tx1"/>
            </w14:solidFill>
          </w14:textFill>
        </w:rPr>
        <w:t>日历天内完成贵单位指定点位的供货及安装并</w:t>
      </w:r>
      <w:r>
        <w:rPr>
          <w:rFonts w:hint="eastAsia" w:ascii="宋体" w:hAnsi="宋体" w:cs="宋体"/>
          <w:color w:val="000000" w:themeColor="text1"/>
          <w:szCs w:val="21"/>
          <w:u w:val="single"/>
          <w14:textFill>
            <w14:solidFill>
              <w14:schemeClr w14:val="tx1"/>
            </w14:solidFill>
          </w14:textFill>
        </w:rPr>
        <w:t>经验收合格投入运行。</w:t>
      </w:r>
    </w:p>
    <w:p w14:paraId="602D4B64">
      <w:pPr>
        <w:adjustRightInd w:val="0"/>
        <w:snapToGrid w:val="0"/>
        <w:spacing w:line="42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hAnsi="宋体" w:cs="宋体"/>
          <w:color w:val="000000" w:themeColor="text1"/>
          <w:szCs w:val="21"/>
          <w14:textFill>
            <w14:solidFill>
              <w14:schemeClr w14:val="tx1"/>
            </w14:solidFill>
          </w14:textFill>
        </w:rPr>
        <w:t>我单位保证项目质量达到</w:t>
      </w:r>
      <w:r>
        <w:rPr>
          <w:rFonts w:hint="eastAsia" w:ascii="宋体" w:hAnsi="宋体" w:cs="宋体"/>
          <w:color w:val="000000" w:themeColor="text1"/>
          <w:szCs w:val="21"/>
          <w:u w:val="single"/>
          <w14:textFill>
            <w14:solidFill>
              <w14:schemeClr w14:val="tx1"/>
            </w14:solidFill>
          </w14:textFill>
        </w:rPr>
        <w:t>相关质量验收规范合格标准，确保通过相关有权部门的审查，所有设备、材料质量等级符合招标文件中技术需求、国家现行的相关规范标准及有关部门最新颁布的相应的最新标准。</w:t>
      </w:r>
    </w:p>
    <w:p w14:paraId="44B23204">
      <w:pPr>
        <w:adjustRightInd w:val="0"/>
        <w:snapToGrid w:val="0"/>
        <w:spacing w:line="42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color w:val="000000" w:themeColor="text1"/>
          <w14:textFill>
            <w14:solidFill>
              <w14:schemeClr w14:val="tx1"/>
            </w14:solidFill>
          </w14:textFill>
        </w:rPr>
        <w:t>我单位承诺本项目质保期为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运维期为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p>
    <w:p w14:paraId="03359282">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拟投入本项目的项目负责人为：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39422A8B">
      <w:pPr>
        <w:spacing w:line="42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4、我单位承诺：</w:t>
      </w:r>
    </w:p>
    <w:p w14:paraId="3A66DB82">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（1）在投标有效期[</w:t>
      </w:r>
      <w:r>
        <w:rPr>
          <w:color w:val="000000" w:themeColor="text1"/>
          <w:szCs w:val="21"/>
          <w:u w:val="single"/>
          <w:lang w:val="zh-CN"/>
          <w14:textFill>
            <w14:solidFill>
              <w14:schemeClr w14:val="tx1"/>
            </w14:solidFill>
          </w14:textFill>
        </w:rPr>
        <w:t>60</w:t>
      </w:r>
      <w:r>
        <w:rPr>
          <w:color w:val="000000" w:themeColor="text1"/>
          <w:szCs w:val="21"/>
          <w:lang w:val="zh-CN"/>
          <w14:textFill>
            <w14:solidFill>
              <w14:schemeClr w14:val="tx1"/>
            </w14:solidFill>
          </w14:textFill>
        </w:rPr>
        <w:t>日（从投标截止之日算起）</w:t>
      </w:r>
      <w:r>
        <w:rPr>
          <w:rFonts w:hint="eastAsia" w:ascii="宋体" w:hAnsi="宋体"/>
          <w:color w:val="000000" w:themeColor="text1"/>
          <w:kern w:val="0"/>
          <w:szCs w:val="21"/>
          <w14:textFill>
            <w14:solidFill>
              <w14:schemeClr w14:val="tx1"/>
            </w14:solidFill>
          </w14:textFill>
        </w:rPr>
        <w:t>]内不修改、撤销投标文件。</w:t>
      </w:r>
    </w:p>
    <w:p w14:paraId="16FFDFDF">
      <w:pPr>
        <w:pStyle w:val="26"/>
        <w:spacing w:line="42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本公司具有独立订立合同的能力；未处于被责令停业、投标资格被取消或者财产被接管、冻结和破产状态；企业没有因骗取中标或者严重违约以及发生重大质量事故等违法违规问题，被国家、省级有关部门及盐城市级（含区、县、市）有关部门暂停投标资格并在暂停期内。</w:t>
      </w:r>
    </w:p>
    <w:p w14:paraId="713C3916">
      <w:pPr>
        <w:tabs>
          <w:tab w:val="left" w:pos="6030"/>
        </w:tabs>
        <w:spacing w:line="42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（3）本次投标文件中提供的所有资格审查材料均真实有效。</w:t>
      </w:r>
    </w:p>
    <w:p w14:paraId="2E670159">
      <w:pPr>
        <w:tabs>
          <w:tab w:val="left" w:pos="6030"/>
        </w:tabs>
        <w:spacing w:line="420" w:lineRule="exact"/>
        <w:ind w:firstLine="420" w:firstLineChars="200"/>
        <w:rPr>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（4）保证按投标文件中承诺的项目组人员配备投入本项目，在项目实施过程中，</w:t>
      </w:r>
      <w:r>
        <w:rPr>
          <w:rFonts w:hint="eastAsia"/>
          <w:color w:val="000000" w:themeColor="text1"/>
          <w14:textFill>
            <w14:solidFill>
              <w14:schemeClr w14:val="tx1"/>
            </w14:solidFill>
          </w14:textFill>
        </w:rPr>
        <w:t>若拟派的项目负责人及项目组成员不能满足贵单位需求，则贵单位有权利要求更换。若经更换后仍不能满足贵单位要求，则贵单位有权利不予支付费用或终止合同。</w:t>
      </w:r>
    </w:p>
    <w:p w14:paraId="40AB6CA7">
      <w:pPr>
        <w:pStyle w:val="26"/>
        <w:spacing w:line="42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5、我单位同意本投标函在招标文件规定的提交投标文件截止时间后，在招标文件规定的投标有效期[60日（从投标截止之日算起）]期满前对我方具有约束力，且随时准备接受你方发出的中标通知书。</w:t>
      </w:r>
    </w:p>
    <w:p w14:paraId="0B741ACA">
      <w:pPr>
        <w:pStyle w:val="26"/>
        <w:spacing w:line="42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6、在签署合同协议书之前，你单位的中标通知书连同本投标函，对双方具有约束力。</w:t>
      </w:r>
    </w:p>
    <w:p w14:paraId="73B56575">
      <w:pPr>
        <w:autoSpaceDE w:val="0"/>
        <w:autoSpaceDN w:val="0"/>
        <w:adjustRightInd w:val="0"/>
        <w:spacing w:line="360" w:lineRule="auto"/>
        <w:jc w:val="left"/>
        <w:rPr>
          <w:rFonts w:ascii="宋体" w:hAnsi="宋体"/>
          <w:color w:val="000000" w:themeColor="text1"/>
          <w:kern w:val="0"/>
          <w:szCs w:val="21"/>
          <w14:textFill>
            <w14:solidFill>
              <w14:schemeClr w14:val="tx1"/>
            </w14:solidFill>
          </w14:textFill>
        </w:rPr>
      </w:pPr>
    </w:p>
    <w:p w14:paraId="1102257B">
      <w:pPr>
        <w:autoSpaceDE w:val="0"/>
        <w:autoSpaceDN w:val="0"/>
        <w:adjustRightInd w:val="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投标人（盖章）：</w:t>
      </w:r>
    </w:p>
    <w:p w14:paraId="1A6497CF">
      <w:pPr>
        <w:autoSpaceDE w:val="0"/>
        <w:autoSpaceDN w:val="0"/>
        <w:adjustRightInd w:val="0"/>
        <w:ind w:firstLine="2108" w:firstLineChars="1004"/>
        <w:rPr>
          <w:rFonts w:ascii="宋体" w:hAnsi="宋体"/>
          <w:color w:val="000000" w:themeColor="text1"/>
          <w:kern w:val="0"/>
          <w:szCs w:val="21"/>
          <w14:textFill>
            <w14:solidFill>
              <w14:schemeClr w14:val="tx1"/>
            </w14:solidFill>
          </w14:textFill>
        </w:rPr>
      </w:pPr>
    </w:p>
    <w:p w14:paraId="2020958D">
      <w:pPr>
        <w:autoSpaceDE w:val="0"/>
        <w:autoSpaceDN w:val="0"/>
        <w:adjustRightInd w:val="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法定代表人</w:t>
      </w:r>
      <w:r>
        <w:rPr>
          <w:rFonts w:hint="eastAsia" w:ascii="宋体" w:hAnsi="宋体"/>
          <w:color w:val="000000" w:themeColor="text1"/>
          <w:kern w:val="0"/>
          <w:szCs w:val="21"/>
          <w14:textFill>
            <w14:solidFill>
              <w14:schemeClr w14:val="tx1"/>
            </w14:solidFill>
          </w14:textFill>
        </w:rPr>
        <w:t>或其委托代理人（签字或印章）：</w:t>
      </w:r>
    </w:p>
    <w:p w14:paraId="1D16024A">
      <w:pPr>
        <w:autoSpaceDE w:val="0"/>
        <w:autoSpaceDN w:val="0"/>
        <w:adjustRightInd w:val="0"/>
        <w:ind w:firstLine="2108" w:firstLineChars="1004"/>
        <w:jc w:val="righ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日期：   年  月   日</w:t>
      </w:r>
    </w:p>
    <w:p w14:paraId="70628FF8">
      <w:pPr>
        <w:pStyle w:val="163"/>
        <w:spacing w:before="0" w:after="0"/>
        <w:jc w:val="left"/>
        <w:rPr>
          <w:b w:val="0"/>
          <w:color w:val="000000" w:themeColor="text1"/>
          <w:sz w:val="24"/>
          <w:lang w:bidi="th-TH"/>
          <w14:textFill>
            <w14:solidFill>
              <w14:schemeClr w14:val="tx1"/>
            </w14:solidFill>
          </w14:textFill>
        </w:rPr>
      </w:pPr>
      <w:r>
        <w:rPr>
          <w:b w:val="0"/>
          <w:color w:val="000000" w:themeColor="text1"/>
          <w:sz w:val="24"/>
          <w:lang w:bidi="th-TH"/>
          <w14:textFill>
            <w14:solidFill>
              <w14:schemeClr w14:val="tx1"/>
            </w14:solidFill>
          </w14:textFill>
        </w:rPr>
        <w:t>格式</w:t>
      </w:r>
      <w:r>
        <w:rPr>
          <w:rFonts w:hint="eastAsia"/>
          <w:b w:val="0"/>
          <w:color w:val="000000" w:themeColor="text1"/>
          <w:sz w:val="24"/>
          <w:lang w:bidi="th-TH"/>
          <w14:textFill>
            <w14:solidFill>
              <w14:schemeClr w14:val="tx1"/>
            </w14:solidFill>
          </w14:textFill>
        </w:rPr>
        <w:t>四：</w:t>
      </w:r>
    </w:p>
    <w:p w14:paraId="103A1B0D">
      <w:pPr>
        <w:pStyle w:val="163"/>
        <w:spacing w:before="0"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投标报价汇总表</w:t>
      </w:r>
    </w:p>
    <w:tbl>
      <w:tblPr>
        <w:tblStyle w:val="48"/>
        <w:tblW w:w="8379" w:type="dxa"/>
        <w:jc w:val="center"/>
        <w:tblLayout w:type="autofit"/>
        <w:tblCellMar>
          <w:top w:w="0" w:type="dxa"/>
          <w:left w:w="108" w:type="dxa"/>
          <w:bottom w:w="0" w:type="dxa"/>
          <w:right w:w="108" w:type="dxa"/>
        </w:tblCellMar>
      </w:tblPr>
      <w:tblGrid>
        <w:gridCol w:w="724"/>
        <w:gridCol w:w="5103"/>
        <w:gridCol w:w="2552"/>
      </w:tblGrid>
      <w:tr w14:paraId="6D82E0E0">
        <w:tblPrEx>
          <w:tblCellMar>
            <w:top w:w="0" w:type="dxa"/>
            <w:left w:w="108" w:type="dxa"/>
            <w:bottom w:w="0" w:type="dxa"/>
            <w:right w:w="108" w:type="dxa"/>
          </w:tblCellMar>
        </w:tblPrEx>
        <w:trPr>
          <w:trHeight w:val="397" w:hRule="atLeast"/>
          <w:jc w:val="center"/>
        </w:trPr>
        <w:tc>
          <w:tcPr>
            <w:tcW w:w="724" w:type="dxa"/>
            <w:vMerge w:val="restart"/>
            <w:tcBorders>
              <w:top w:val="single" w:color="000000" w:sz="8" w:space="0"/>
              <w:left w:val="single" w:color="000000" w:sz="8" w:space="0"/>
              <w:bottom w:val="single" w:color="000000" w:sz="4" w:space="0"/>
              <w:right w:val="single" w:color="000000" w:sz="4" w:space="0"/>
            </w:tcBorders>
            <w:shd w:val="clear" w:color="000000" w:fill="FFFFFF"/>
            <w:vAlign w:val="center"/>
          </w:tcPr>
          <w:p w14:paraId="202C823D">
            <w:pPr>
              <w:widowControl/>
              <w:jc w:val="center"/>
              <w:rPr>
                <w:rFonts w:ascii="黑体" w:hAnsi="黑体" w:eastAsia="黑体" w:cs="Arial"/>
                <w:b/>
                <w:bCs/>
                <w:color w:val="000000" w:themeColor="text1"/>
                <w:kern w:val="0"/>
                <w:szCs w:val="21"/>
                <w14:textFill>
                  <w14:solidFill>
                    <w14:schemeClr w14:val="tx1"/>
                  </w14:solidFill>
                </w14:textFill>
              </w:rPr>
            </w:pPr>
            <w:r>
              <w:rPr>
                <w:rFonts w:hint="eastAsia" w:ascii="黑体" w:hAnsi="黑体" w:eastAsia="黑体" w:cs="Arial"/>
                <w:b/>
                <w:bCs/>
                <w:color w:val="000000" w:themeColor="text1"/>
                <w:kern w:val="0"/>
                <w:szCs w:val="21"/>
                <w14:textFill>
                  <w14:solidFill>
                    <w14:schemeClr w14:val="tx1"/>
                  </w14:solidFill>
                </w14:textFill>
              </w:rPr>
              <w:t>序号</w:t>
            </w:r>
          </w:p>
        </w:tc>
        <w:tc>
          <w:tcPr>
            <w:tcW w:w="5103" w:type="dxa"/>
            <w:vMerge w:val="restart"/>
            <w:tcBorders>
              <w:top w:val="single" w:color="000000" w:sz="8" w:space="0"/>
              <w:left w:val="single" w:color="000000" w:sz="4" w:space="0"/>
              <w:bottom w:val="single" w:color="000000" w:sz="4" w:space="0"/>
              <w:right w:val="single" w:color="000000" w:sz="4" w:space="0"/>
            </w:tcBorders>
            <w:shd w:val="clear" w:color="000000" w:fill="FFFFFF"/>
            <w:vAlign w:val="center"/>
          </w:tcPr>
          <w:p w14:paraId="668D20B2">
            <w:pPr>
              <w:widowControl/>
              <w:jc w:val="center"/>
              <w:rPr>
                <w:rFonts w:ascii="宋体" w:hAnsi="宋体" w:cs="Arial"/>
                <w:b/>
                <w:bCs/>
                <w:color w:val="000000" w:themeColor="text1"/>
                <w:kern w:val="0"/>
                <w:szCs w:val="21"/>
                <w14:textFill>
                  <w14:solidFill>
                    <w14:schemeClr w14:val="tx1"/>
                  </w14:solidFill>
                </w14:textFill>
              </w:rPr>
            </w:pPr>
            <w:r>
              <w:rPr>
                <w:rFonts w:hint="eastAsia" w:ascii="宋体" w:hAnsi="宋体" w:cs="Arial"/>
                <w:b/>
                <w:bCs/>
                <w:color w:val="000000" w:themeColor="text1"/>
                <w:kern w:val="0"/>
                <w:szCs w:val="21"/>
                <w14:textFill>
                  <w14:solidFill>
                    <w14:schemeClr w14:val="tx1"/>
                  </w14:solidFill>
                </w14:textFill>
              </w:rPr>
              <w:t>单位工程名称</w:t>
            </w:r>
          </w:p>
        </w:tc>
        <w:tc>
          <w:tcPr>
            <w:tcW w:w="2552" w:type="dxa"/>
            <w:vMerge w:val="restart"/>
            <w:tcBorders>
              <w:top w:val="single" w:color="000000" w:sz="8" w:space="0"/>
              <w:left w:val="single" w:color="000000" w:sz="4" w:space="0"/>
              <w:bottom w:val="single" w:color="000000" w:sz="4" w:space="0"/>
              <w:right w:val="single" w:color="000000" w:sz="4" w:space="0"/>
            </w:tcBorders>
            <w:shd w:val="clear" w:color="000000" w:fill="FFFFFF"/>
            <w:vAlign w:val="center"/>
          </w:tcPr>
          <w:p w14:paraId="4F2C31E4">
            <w:pPr>
              <w:widowControl/>
              <w:jc w:val="center"/>
              <w:rPr>
                <w:rFonts w:ascii="宋体" w:hAnsi="宋体" w:cs="Arial"/>
                <w:b/>
                <w:bCs/>
                <w:color w:val="000000" w:themeColor="text1"/>
                <w:kern w:val="0"/>
                <w:szCs w:val="21"/>
                <w14:textFill>
                  <w14:solidFill>
                    <w14:schemeClr w14:val="tx1"/>
                  </w14:solidFill>
                </w14:textFill>
              </w:rPr>
            </w:pPr>
            <w:r>
              <w:rPr>
                <w:rFonts w:hint="eastAsia" w:ascii="宋体" w:hAnsi="宋体" w:cs="Arial"/>
                <w:b/>
                <w:bCs/>
                <w:color w:val="000000" w:themeColor="text1"/>
                <w:kern w:val="0"/>
                <w:szCs w:val="21"/>
                <w14:textFill>
                  <w14:solidFill>
                    <w14:schemeClr w14:val="tx1"/>
                  </w14:solidFill>
                </w14:textFill>
              </w:rPr>
              <w:t>投标报价(元)</w:t>
            </w:r>
          </w:p>
        </w:tc>
      </w:tr>
      <w:tr w14:paraId="6D2E7A19">
        <w:tblPrEx>
          <w:tblCellMar>
            <w:top w:w="0" w:type="dxa"/>
            <w:left w:w="108" w:type="dxa"/>
            <w:bottom w:w="0" w:type="dxa"/>
            <w:right w:w="108" w:type="dxa"/>
          </w:tblCellMar>
        </w:tblPrEx>
        <w:trPr>
          <w:trHeight w:val="397" w:hRule="atLeast"/>
          <w:jc w:val="center"/>
        </w:trPr>
        <w:tc>
          <w:tcPr>
            <w:tcW w:w="724" w:type="dxa"/>
            <w:vMerge w:val="continue"/>
            <w:tcBorders>
              <w:top w:val="single" w:color="000000" w:sz="8" w:space="0"/>
              <w:left w:val="single" w:color="000000" w:sz="8" w:space="0"/>
              <w:bottom w:val="single" w:color="000000" w:sz="4" w:space="0"/>
              <w:right w:val="single" w:color="000000" w:sz="4" w:space="0"/>
            </w:tcBorders>
            <w:vAlign w:val="center"/>
          </w:tcPr>
          <w:p w14:paraId="50F9E48A">
            <w:pPr>
              <w:widowControl/>
              <w:jc w:val="left"/>
              <w:rPr>
                <w:rFonts w:ascii="黑体" w:hAnsi="黑体" w:eastAsia="黑体" w:cs="Arial"/>
                <w:b/>
                <w:bCs/>
                <w:color w:val="000000" w:themeColor="text1"/>
                <w:kern w:val="0"/>
                <w:szCs w:val="21"/>
                <w14:textFill>
                  <w14:solidFill>
                    <w14:schemeClr w14:val="tx1"/>
                  </w14:solidFill>
                </w14:textFill>
              </w:rPr>
            </w:pPr>
          </w:p>
        </w:tc>
        <w:tc>
          <w:tcPr>
            <w:tcW w:w="5103" w:type="dxa"/>
            <w:vMerge w:val="continue"/>
            <w:tcBorders>
              <w:top w:val="single" w:color="000000" w:sz="8" w:space="0"/>
              <w:left w:val="single" w:color="000000" w:sz="4" w:space="0"/>
              <w:bottom w:val="single" w:color="000000" w:sz="4" w:space="0"/>
              <w:right w:val="single" w:color="000000" w:sz="4" w:space="0"/>
            </w:tcBorders>
            <w:vAlign w:val="center"/>
          </w:tcPr>
          <w:p w14:paraId="1DC16304">
            <w:pPr>
              <w:widowControl/>
              <w:jc w:val="left"/>
              <w:rPr>
                <w:rFonts w:ascii="宋体" w:hAnsi="宋体" w:cs="Arial"/>
                <w:b/>
                <w:bCs/>
                <w:color w:val="000000" w:themeColor="text1"/>
                <w:kern w:val="0"/>
                <w:szCs w:val="21"/>
                <w14:textFill>
                  <w14:solidFill>
                    <w14:schemeClr w14:val="tx1"/>
                  </w14:solidFill>
                </w14:textFill>
              </w:rPr>
            </w:pPr>
          </w:p>
        </w:tc>
        <w:tc>
          <w:tcPr>
            <w:tcW w:w="2552" w:type="dxa"/>
            <w:vMerge w:val="continue"/>
            <w:tcBorders>
              <w:top w:val="single" w:color="000000" w:sz="8" w:space="0"/>
              <w:left w:val="single" w:color="000000" w:sz="4" w:space="0"/>
              <w:bottom w:val="single" w:color="000000" w:sz="4" w:space="0"/>
              <w:right w:val="single" w:color="000000" w:sz="4" w:space="0"/>
            </w:tcBorders>
            <w:vAlign w:val="center"/>
          </w:tcPr>
          <w:p w14:paraId="1F0064F9">
            <w:pPr>
              <w:widowControl/>
              <w:jc w:val="left"/>
              <w:rPr>
                <w:rFonts w:ascii="宋体" w:hAnsi="宋体" w:cs="Arial"/>
                <w:b/>
                <w:bCs/>
                <w:color w:val="000000" w:themeColor="text1"/>
                <w:kern w:val="0"/>
                <w:szCs w:val="21"/>
                <w14:textFill>
                  <w14:solidFill>
                    <w14:schemeClr w14:val="tx1"/>
                  </w14:solidFill>
                </w14:textFill>
              </w:rPr>
            </w:pPr>
          </w:p>
        </w:tc>
      </w:tr>
      <w:tr w14:paraId="46BB97B0">
        <w:tblPrEx>
          <w:tblCellMar>
            <w:top w:w="0" w:type="dxa"/>
            <w:left w:w="108" w:type="dxa"/>
            <w:bottom w:w="0" w:type="dxa"/>
            <w:right w:w="108" w:type="dxa"/>
          </w:tblCellMar>
        </w:tblPrEx>
        <w:trPr>
          <w:trHeight w:val="397" w:hRule="atLeast"/>
          <w:jc w:val="center"/>
        </w:trPr>
        <w:tc>
          <w:tcPr>
            <w:tcW w:w="724" w:type="dxa"/>
            <w:tcBorders>
              <w:top w:val="nil"/>
              <w:left w:val="single" w:color="000000" w:sz="8" w:space="0"/>
              <w:bottom w:val="single" w:color="000000" w:sz="4" w:space="0"/>
              <w:right w:val="single" w:color="000000" w:sz="4" w:space="0"/>
            </w:tcBorders>
            <w:shd w:val="clear" w:color="auto" w:fill="auto"/>
            <w:vAlign w:val="center"/>
          </w:tcPr>
          <w:p w14:paraId="3AB94779">
            <w:pPr>
              <w:widowControl/>
              <w:jc w:val="center"/>
              <w:rPr>
                <w:rFonts w:ascii="宋体" w:hAnsi="宋体" w:cs="Arial"/>
                <w:color w:val="000000" w:themeColor="text1"/>
                <w:kern w:val="0"/>
                <w:szCs w:val="21"/>
                <w14:textFill>
                  <w14:solidFill>
                    <w14:schemeClr w14:val="tx1"/>
                  </w14:solidFill>
                </w14:textFill>
              </w:rPr>
            </w:pPr>
          </w:p>
        </w:tc>
        <w:tc>
          <w:tcPr>
            <w:tcW w:w="5103" w:type="dxa"/>
            <w:tcBorders>
              <w:top w:val="nil"/>
              <w:left w:val="nil"/>
              <w:bottom w:val="single" w:color="000000" w:sz="4" w:space="0"/>
              <w:right w:val="single" w:color="000000" w:sz="4" w:space="0"/>
            </w:tcBorders>
            <w:shd w:val="clear" w:color="auto" w:fill="auto"/>
            <w:vAlign w:val="center"/>
          </w:tcPr>
          <w:p w14:paraId="70F7B602">
            <w:pPr>
              <w:widowControl/>
              <w:jc w:val="center"/>
              <w:rPr>
                <w:rFonts w:ascii="宋体" w:hAnsi="宋体" w:cs="Arial"/>
                <w:color w:val="000000" w:themeColor="text1"/>
                <w:kern w:val="0"/>
                <w:szCs w:val="21"/>
                <w14:textFill>
                  <w14:solidFill>
                    <w14:schemeClr w14:val="tx1"/>
                  </w14:solidFill>
                </w14:textFill>
              </w:rPr>
            </w:pPr>
          </w:p>
        </w:tc>
        <w:tc>
          <w:tcPr>
            <w:tcW w:w="2552" w:type="dxa"/>
            <w:tcBorders>
              <w:top w:val="nil"/>
              <w:left w:val="nil"/>
              <w:bottom w:val="single" w:color="000000" w:sz="4" w:space="0"/>
              <w:right w:val="single" w:color="000000" w:sz="4" w:space="0"/>
            </w:tcBorders>
            <w:shd w:val="clear" w:color="auto" w:fill="auto"/>
            <w:vAlign w:val="center"/>
          </w:tcPr>
          <w:p w14:paraId="6A0E6EBF">
            <w:pPr>
              <w:widowControl/>
              <w:jc w:val="right"/>
              <w:rPr>
                <w:rFonts w:ascii="宋体" w:hAnsi="宋体" w:cs="Arial"/>
                <w:color w:val="000000" w:themeColor="text1"/>
                <w:kern w:val="0"/>
                <w:szCs w:val="21"/>
                <w14:textFill>
                  <w14:solidFill>
                    <w14:schemeClr w14:val="tx1"/>
                  </w14:solidFill>
                </w14:textFill>
              </w:rPr>
            </w:pPr>
          </w:p>
        </w:tc>
      </w:tr>
      <w:tr w14:paraId="6CABCB50">
        <w:tblPrEx>
          <w:tblCellMar>
            <w:top w:w="0" w:type="dxa"/>
            <w:left w:w="108" w:type="dxa"/>
            <w:bottom w:w="0" w:type="dxa"/>
            <w:right w:w="108" w:type="dxa"/>
          </w:tblCellMar>
        </w:tblPrEx>
        <w:trPr>
          <w:trHeight w:val="397" w:hRule="atLeast"/>
          <w:jc w:val="center"/>
        </w:trPr>
        <w:tc>
          <w:tcPr>
            <w:tcW w:w="724" w:type="dxa"/>
            <w:tcBorders>
              <w:top w:val="nil"/>
              <w:left w:val="single" w:color="000000" w:sz="8" w:space="0"/>
              <w:bottom w:val="single" w:color="000000" w:sz="4" w:space="0"/>
              <w:right w:val="single" w:color="000000" w:sz="4" w:space="0"/>
            </w:tcBorders>
            <w:shd w:val="clear" w:color="auto" w:fill="auto"/>
            <w:vAlign w:val="center"/>
          </w:tcPr>
          <w:p w14:paraId="33E16872">
            <w:pPr>
              <w:widowControl/>
              <w:jc w:val="center"/>
              <w:rPr>
                <w:rFonts w:ascii="宋体" w:hAnsi="宋体" w:cs="Arial"/>
                <w:color w:val="000000" w:themeColor="text1"/>
                <w:kern w:val="0"/>
                <w:szCs w:val="21"/>
                <w14:textFill>
                  <w14:solidFill>
                    <w14:schemeClr w14:val="tx1"/>
                  </w14:solidFill>
                </w14:textFill>
              </w:rPr>
            </w:pPr>
          </w:p>
        </w:tc>
        <w:tc>
          <w:tcPr>
            <w:tcW w:w="5103" w:type="dxa"/>
            <w:tcBorders>
              <w:top w:val="nil"/>
              <w:left w:val="nil"/>
              <w:bottom w:val="single" w:color="000000" w:sz="4" w:space="0"/>
              <w:right w:val="single" w:color="000000" w:sz="4" w:space="0"/>
            </w:tcBorders>
            <w:shd w:val="clear" w:color="auto" w:fill="auto"/>
            <w:vAlign w:val="center"/>
          </w:tcPr>
          <w:p w14:paraId="6970BA66">
            <w:pPr>
              <w:widowControl/>
              <w:jc w:val="center"/>
              <w:rPr>
                <w:rFonts w:ascii="宋体" w:hAnsi="宋体" w:cs="Arial"/>
                <w:color w:val="000000" w:themeColor="text1"/>
                <w:kern w:val="0"/>
                <w:szCs w:val="21"/>
                <w14:textFill>
                  <w14:solidFill>
                    <w14:schemeClr w14:val="tx1"/>
                  </w14:solidFill>
                </w14:textFill>
              </w:rPr>
            </w:pPr>
          </w:p>
        </w:tc>
        <w:tc>
          <w:tcPr>
            <w:tcW w:w="2552" w:type="dxa"/>
            <w:tcBorders>
              <w:top w:val="nil"/>
              <w:left w:val="nil"/>
              <w:bottom w:val="single" w:color="000000" w:sz="4" w:space="0"/>
              <w:right w:val="single" w:color="000000" w:sz="4" w:space="0"/>
            </w:tcBorders>
            <w:shd w:val="clear" w:color="auto" w:fill="auto"/>
            <w:vAlign w:val="center"/>
          </w:tcPr>
          <w:p w14:paraId="24ABC4DB">
            <w:pPr>
              <w:widowControl/>
              <w:jc w:val="right"/>
              <w:rPr>
                <w:rFonts w:ascii="宋体" w:hAnsi="宋体" w:cs="Arial"/>
                <w:color w:val="000000" w:themeColor="text1"/>
                <w:kern w:val="0"/>
                <w:szCs w:val="21"/>
                <w14:textFill>
                  <w14:solidFill>
                    <w14:schemeClr w14:val="tx1"/>
                  </w14:solidFill>
                </w14:textFill>
              </w:rPr>
            </w:pPr>
          </w:p>
        </w:tc>
      </w:tr>
      <w:tr w14:paraId="38A0BE4F">
        <w:tblPrEx>
          <w:tblCellMar>
            <w:top w:w="0" w:type="dxa"/>
            <w:left w:w="108" w:type="dxa"/>
            <w:bottom w:w="0" w:type="dxa"/>
            <w:right w:w="108" w:type="dxa"/>
          </w:tblCellMar>
        </w:tblPrEx>
        <w:trPr>
          <w:trHeight w:val="397" w:hRule="atLeast"/>
          <w:jc w:val="center"/>
        </w:trPr>
        <w:tc>
          <w:tcPr>
            <w:tcW w:w="724" w:type="dxa"/>
            <w:tcBorders>
              <w:top w:val="nil"/>
              <w:left w:val="single" w:color="000000" w:sz="8" w:space="0"/>
              <w:bottom w:val="single" w:color="000000" w:sz="4" w:space="0"/>
              <w:right w:val="single" w:color="000000" w:sz="4" w:space="0"/>
            </w:tcBorders>
            <w:shd w:val="clear" w:color="auto" w:fill="auto"/>
            <w:vAlign w:val="center"/>
          </w:tcPr>
          <w:p w14:paraId="25B70FE8">
            <w:pPr>
              <w:widowControl/>
              <w:jc w:val="center"/>
              <w:rPr>
                <w:rFonts w:ascii="宋体" w:hAnsi="宋体" w:cs="Arial"/>
                <w:color w:val="000000" w:themeColor="text1"/>
                <w:kern w:val="0"/>
                <w:szCs w:val="21"/>
                <w14:textFill>
                  <w14:solidFill>
                    <w14:schemeClr w14:val="tx1"/>
                  </w14:solidFill>
                </w14:textFill>
              </w:rPr>
            </w:pPr>
          </w:p>
        </w:tc>
        <w:tc>
          <w:tcPr>
            <w:tcW w:w="5103" w:type="dxa"/>
            <w:tcBorders>
              <w:top w:val="nil"/>
              <w:left w:val="nil"/>
              <w:bottom w:val="single" w:color="000000" w:sz="4" w:space="0"/>
              <w:right w:val="single" w:color="000000" w:sz="4" w:space="0"/>
            </w:tcBorders>
            <w:shd w:val="clear" w:color="auto" w:fill="auto"/>
            <w:vAlign w:val="center"/>
          </w:tcPr>
          <w:p w14:paraId="7AEA105E">
            <w:pPr>
              <w:widowControl/>
              <w:jc w:val="center"/>
              <w:rPr>
                <w:rFonts w:ascii="宋体" w:hAnsi="宋体" w:cs="Arial"/>
                <w:color w:val="000000" w:themeColor="text1"/>
                <w:kern w:val="0"/>
                <w:szCs w:val="21"/>
                <w14:textFill>
                  <w14:solidFill>
                    <w14:schemeClr w14:val="tx1"/>
                  </w14:solidFill>
                </w14:textFill>
              </w:rPr>
            </w:pPr>
          </w:p>
        </w:tc>
        <w:tc>
          <w:tcPr>
            <w:tcW w:w="2552" w:type="dxa"/>
            <w:tcBorders>
              <w:top w:val="nil"/>
              <w:left w:val="nil"/>
              <w:bottom w:val="single" w:color="000000" w:sz="4" w:space="0"/>
              <w:right w:val="single" w:color="000000" w:sz="4" w:space="0"/>
            </w:tcBorders>
            <w:shd w:val="clear" w:color="auto" w:fill="auto"/>
            <w:vAlign w:val="center"/>
          </w:tcPr>
          <w:p w14:paraId="0082E53B">
            <w:pPr>
              <w:widowControl/>
              <w:jc w:val="right"/>
              <w:rPr>
                <w:rFonts w:ascii="宋体" w:hAnsi="宋体" w:cs="Arial"/>
                <w:color w:val="000000" w:themeColor="text1"/>
                <w:kern w:val="0"/>
                <w:szCs w:val="21"/>
                <w14:textFill>
                  <w14:solidFill>
                    <w14:schemeClr w14:val="tx1"/>
                  </w14:solidFill>
                </w14:textFill>
              </w:rPr>
            </w:pPr>
          </w:p>
        </w:tc>
      </w:tr>
      <w:tr w14:paraId="0CF8AC14">
        <w:tblPrEx>
          <w:tblCellMar>
            <w:top w:w="0" w:type="dxa"/>
            <w:left w:w="108" w:type="dxa"/>
            <w:bottom w:w="0" w:type="dxa"/>
            <w:right w:w="108" w:type="dxa"/>
          </w:tblCellMar>
        </w:tblPrEx>
        <w:trPr>
          <w:trHeight w:val="397" w:hRule="atLeast"/>
          <w:jc w:val="center"/>
        </w:trPr>
        <w:tc>
          <w:tcPr>
            <w:tcW w:w="724" w:type="dxa"/>
            <w:tcBorders>
              <w:top w:val="nil"/>
              <w:left w:val="single" w:color="000000" w:sz="8" w:space="0"/>
              <w:bottom w:val="single" w:color="000000" w:sz="4" w:space="0"/>
              <w:right w:val="single" w:color="000000" w:sz="4" w:space="0"/>
            </w:tcBorders>
            <w:shd w:val="clear" w:color="auto" w:fill="auto"/>
            <w:vAlign w:val="center"/>
          </w:tcPr>
          <w:p w14:paraId="09B1A72F">
            <w:pPr>
              <w:widowControl/>
              <w:jc w:val="center"/>
              <w:rPr>
                <w:rFonts w:ascii="宋体" w:hAnsi="宋体" w:cs="Arial"/>
                <w:color w:val="000000" w:themeColor="text1"/>
                <w:kern w:val="0"/>
                <w:szCs w:val="21"/>
                <w14:textFill>
                  <w14:solidFill>
                    <w14:schemeClr w14:val="tx1"/>
                  </w14:solidFill>
                </w14:textFill>
              </w:rPr>
            </w:pPr>
          </w:p>
        </w:tc>
        <w:tc>
          <w:tcPr>
            <w:tcW w:w="5103" w:type="dxa"/>
            <w:tcBorders>
              <w:top w:val="nil"/>
              <w:left w:val="nil"/>
              <w:bottom w:val="single" w:color="000000" w:sz="4" w:space="0"/>
              <w:right w:val="single" w:color="000000" w:sz="4" w:space="0"/>
            </w:tcBorders>
            <w:shd w:val="clear" w:color="auto" w:fill="auto"/>
            <w:vAlign w:val="center"/>
          </w:tcPr>
          <w:p w14:paraId="7F6763C7">
            <w:pPr>
              <w:widowControl/>
              <w:jc w:val="center"/>
              <w:rPr>
                <w:rFonts w:ascii="宋体" w:hAnsi="宋体" w:cs="Arial"/>
                <w:color w:val="000000" w:themeColor="text1"/>
                <w:kern w:val="0"/>
                <w:szCs w:val="21"/>
                <w14:textFill>
                  <w14:solidFill>
                    <w14:schemeClr w14:val="tx1"/>
                  </w14:solidFill>
                </w14:textFill>
              </w:rPr>
            </w:pPr>
          </w:p>
        </w:tc>
        <w:tc>
          <w:tcPr>
            <w:tcW w:w="2552" w:type="dxa"/>
            <w:tcBorders>
              <w:top w:val="nil"/>
              <w:left w:val="nil"/>
              <w:bottom w:val="single" w:color="000000" w:sz="4" w:space="0"/>
              <w:right w:val="single" w:color="000000" w:sz="4" w:space="0"/>
            </w:tcBorders>
            <w:shd w:val="clear" w:color="auto" w:fill="auto"/>
            <w:vAlign w:val="center"/>
          </w:tcPr>
          <w:p w14:paraId="3C6BC1DA">
            <w:pPr>
              <w:widowControl/>
              <w:jc w:val="right"/>
              <w:rPr>
                <w:rFonts w:ascii="宋体" w:hAnsi="宋体" w:cs="Arial"/>
                <w:color w:val="000000" w:themeColor="text1"/>
                <w:kern w:val="0"/>
                <w:szCs w:val="21"/>
                <w14:textFill>
                  <w14:solidFill>
                    <w14:schemeClr w14:val="tx1"/>
                  </w14:solidFill>
                </w14:textFill>
              </w:rPr>
            </w:pPr>
          </w:p>
        </w:tc>
      </w:tr>
      <w:tr w14:paraId="5652F27D">
        <w:tblPrEx>
          <w:tblCellMar>
            <w:top w:w="0" w:type="dxa"/>
            <w:left w:w="108" w:type="dxa"/>
            <w:bottom w:w="0" w:type="dxa"/>
            <w:right w:w="108" w:type="dxa"/>
          </w:tblCellMar>
        </w:tblPrEx>
        <w:trPr>
          <w:trHeight w:val="397" w:hRule="atLeast"/>
          <w:jc w:val="center"/>
        </w:trPr>
        <w:tc>
          <w:tcPr>
            <w:tcW w:w="724" w:type="dxa"/>
            <w:tcBorders>
              <w:top w:val="nil"/>
              <w:left w:val="single" w:color="000000" w:sz="8" w:space="0"/>
              <w:bottom w:val="single" w:color="000000" w:sz="4" w:space="0"/>
              <w:right w:val="single" w:color="000000" w:sz="4" w:space="0"/>
            </w:tcBorders>
            <w:shd w:val="clear" w:color="auto" w:fill="auto"/>
            <w:vAlign w:val="center"/>
          </w:tcPr>
          <w:p w14:paraId="3AEE339D">
            <w:pPr>
              <w:widowControl/>
              <w:jc w:val="center"/>
              <w:rPr>
                <w:rFonts w:ascii="宋体" w:hAnsi="宋体" w:cs="Arial"/>
                <w:color w:val="000000" w:themeColor="text1"/>
                <w:kern w:val="0"/>
                <w:szCs w:val="21"/>
                <w14:textFill>
                  <w14:solidFill>
                    <w14:schemeClr w14:val="tx1"/>
                  </w14:solidFill>
                </w14:textFill>
              </w:rPr>
            </w:pPr>
          </w:p>
        </w:tc>
        <w:tc>
          <w:tcPr>
            <w:tcW w:w="5103" w:type="dxa"/>
            <w:tcBorders>
              <w:top w:val="nil"/>
              <w:left w:val="nil"/>
              <w:bottom w:val="single" w:color="000000" w:sz="4" w:space="0"/>
              <w:right w:val="single" w:color="000000" w:sz="4" w:space="0"/>
            </w:tcBorders>
            <w:shd w:val="clear" w:color="auto" w:fill="auto"/>
            <w:vAlign w:val="center"/>
          </w:tcPr>
          <w:p w14:paraId="5F3ED84A">
            <w:pPr>
              <w:widowControl/>
              <w:jc w:val="center"/>
              <w:rPr>
                <w:rFonts w:ascii="宋体" w:hAnsi="宋体" w:cs="Arial"/>
                <w:color w:val="000000" w:themeColor="text1"/>
                <w:kern w:val="0"/>
                <w:szCs w:val="21"/>
                <w14:textFill>
                  <w14:solidFill>
                    <w14:schemeClr w14:val="tx1"/>
                  </w14:solidFill>
                </w14:textFill>
              </w:rPr>
            </w:pPr>
          </w:p>
        </w:tc>
        <w:tc>
          <w:tcPr>
            <w:tcW w:w="2552" w:type="dxa"/>
            <w:tcBorders>
              <w:top w:val="nil"/>
              <w:left w:val="nil"/>
              <w:bottom w:val="single" w:color="000000" w:sz="4" w:space="0"/>
              <w:right w:val="single" w:color="000000" w:sz="4" w:space="0"/>
            </w:tcBorders>
            <w:shd w:val="clear" w:color="auto" w:fill="auto"/>
            <w:vAlign w:val="center"/>
          </w:tcPr>
          <w:p w14:paraId="08FC68F3">
            <w:pPr>
              <w:widowControl/>
              <w:jc w:val="right"/>
              <w:rPr>
                <w:rFonts w:ascii="宋体" w:hAnsi="宋体" w:cs="Arial"/>
                <w:color w:val="000000" w:themeColor="text1"/>
                <w:kern w:val="0"/>
                <w:szCs w:val="21"/>
                <w14:textFill>
                  <w14:solidFill>
                    <w14:schemeClr w14:val="tx1"/>
                  </w14:solidFill>
                </w14:textFill>
              </w:rPr>
            </w:pPr>
          </w:p>
        </w:tc>
      </w:tr>
      <w:tr w14:paraId="0BE18CFF">
        <w:tblPrEx>
          <w:tblCellMar>
            <w:top w:w="0" w:type="dxa"/>
            <w:left w:w="108" w:type="dxa"/>
            <w:bottom w:w="0" w:type="dxa"/>
            <w:right w:w="108" w:type="dxa"/>
          </w:tblCellMar>
        </w:tblPrEx>
        <w:trPr>
          <w:trHeight w:val="397" w:hRule="atLeast"/>
          <w:jc w:val="center"/>
        </w:trPr>
        <w:tc>
          <w:tcPr>
            <w:tcW w:w="724" w:type="dxa"/>
            <w:tcBorders>
              <w:top w:val="nil"/>
              <w:left w:val="single" w:color="000000" w:sz="8" w:space="0"/>
              <w:bottom w:val="single" w:color="000000" w:sz="4" w:space="0"/>
              <w:right w:val="single" w:color="000000" w:sz="4" w:space="0"/>
            </w:tcBorders>
            <w:shd w:val="clear" w:color="auto" w:fill="auto"/>
            <w:vAlign w:val="center"/>
          </w:tcPr>
          <w:p w14:paraId="472D98CD">
            <w:pPr>
              <w:widowControl/>
              <w:jc w:val="center"/>
              <w:rPr>
                <w:rFonts w:ascii="宋体" w:hAnsi="宋体" w:cs="Arial"/>
                <w:color w:val="000000" w:themeColor="text1"/>
                <w:kern w:val="0"/>
                <w:szCs w:val="21"/>
                <w14:textFill>
                  <w14:solidFill>
                    <w14:schemeClr w14:val="tx1"/>
                  </w14:solidFill>
                </w14:textFill>
              </w:rPr>
            </w:pPr>
          </w:p>
        </w:tc>
        <w:tc>
          <w:tcPr>
            <w:tcW w:w="5103" w:type="dxa"/>
            <w:tcBorders>
              <w:top w:val="nil"/>
              <w:left w:val="nil"/>
              <w:bottom w:val="single" w:color="000000" w:sz="4" w:space="0"/>
              <w:right w:val="single" w:color="000000" w:sz="4" w:space="0"/>
            </w:tcBorders>
            <w:shd w:val="clear" w:color="auto" w:fill="auto"/>
            <w:vAlign w:val="center"/>
          </w:tcPr>
          <w:p w14:paraId="3B4BBFD3">
            <w:pPr>
              <w:widowControl/>
              <w:jc w:val="center"/>
              <w:rPr>
                <w:rFonts w:ascii="宋体" w:hAnsi="宋体" w:cs="Arial"/>
                <w:color w:val="000000" w:themeColor="text1"/>
                <w:kern w:val="0"/>
                <w:szCs w:val="21"/>
                <w14:textFill>
                  <w14:solidFill>
                    <w14:schemeClr w14:val="tx1"/>
                  </w14:solidFill>
                </w14:textFill>
              </w:rPr>
            </w:pPr>
          </w:p>
        </w:tc>
        <w:tc>
          <w:tcPr>
            <w:tcW w:w="2552" w:type="dxa"/>
            <w:tcBorders>
              <w:top w:val="nil"/>
              <w:left w:val="nil"/>
              <w:bottom w:val="single" w:color="000000" w:sz="4" w:space="0"/>
              <w:right w:val="single" w:color="000000" w:sz="4" w:space="0"/>
            </w:tcBorders>
            <w:shd w:val="clear" w:color="auto" w:fill="auto"/>
            <w:vAlign w:val="center"/>
          </w:tcPr>
          <w:p w14:paraId="640AC2D7">
            <w:pPr>
              <w:widowControl/>
              <w:jc w:val="right"/>
              <w:rPr>
                <w:rFonts w:ascii="宋体" w:hAnsi="宋体" w:cs="Arial"/>
                <w:color w:val="000000" w:themeColor="text1"/>
                <w:kern w:val="0"/>
                <w:szCs w:val="21"/>
                <w14:textFill>
                  <w14:solidFill>
                    <w14:schemeClr w14:val="tx1"/>
                  </w14:solidFill>
                </w14:textFill>
              </w:rPr>
            </w:pPr>
          </w:p>
        </w:tc>
      </w:tr>
      <w:tr w14:paraId="16D1B470">
        <w:tblPrEx>
          <w:tblCellMar>
            <w:top w:w="0" w:type="dxa"/>
            <w:left w:w="108" w:type="dxa"/>
            <w:bottom w:w="0" w:type="dxa"/>
            <w:right w:w="108" w:type="dxa"/>
          </w:tblCellMar>
        </w:tblPrEx>
        <w:trPr>
          <w:trHeight w:val="397" w:hRule="atLeast"/>
          <w:jc w:val="center"/>
        </w:trPr>
        <w:tc>
          <w:tcPr>
            <w:tcW w:w="724" w:type="dxa"/>
            <w:tcBorders>
              <w:top w:val="nil"/>
              <w:left w:val="single" w:color="000000" w:sz="8" w:space="0"/>
              <w:bottom w:val="single" w:color="000000" w:sz="4" w:space="0"/>
              <w:right w:val="single" w:color="000000" w:sz="4" w:space="0"/>
            </w:tcBorders>
            <w:shd w:val="clear" w:color="auto" w:fill="auto"/>
            <w:vAlign w:val="center"/>
          </w:tcPr>
          <w:p w14:paraId="66EAD2C6">
            <w:pPr>
              <w:widowControl/>
              <w:jc w:val="center"/>
              <w:rPr>
                <w:rFonts w:ascii="宋体" w:hAnsi="宋体" w:cs="Arial"/>
                <w:color w:val="000000" w:themeColor="text1"/>
                <w:kern w:val="0"/>
                <w:szCs w:val="21"/>
                <w14:textFill>
                  <w14:solidFill>
                    <w14:schemeClr w14:val="tx1"/>
                  </w14:solidFill>
                </w14:textFill>
              </w:rPr>
            </w:pPr>
          </w:p>
        </w:tc>
        <w:tc>
          <w:tcPr>
            <w:tcW w:w="5103" w:type="dxa"/>
            <w:tcBorders>
              <w:top w:val="nil"/>
              <w:left w:val="nil"/>
              <w:bottom w:val="single" w:color="000000" w:sz="4" w:space="0"/>
              <w:right w:val="single" w:color="000000" w:sz="4" w:space="0"/>
            </w:tcBorders>
            <w:shd w:val="clear" w:color="auto" w:fill="auto"/>
            <w:vAlign w:val="center"/>
          </w:tcPr>
          <w:p w14:paraId="59A4E25A">
            <w:pPr>
              <w:widowControl/>
              <w:jc w:val="center"/>
              <w:rPr>
                <w:rFonts w:ascii="宋体" w:hAnsi="宋体" w:cs="Arial"/>
                <w:color w:val="000000" w:themeColor="text1"/>
                <w:kern w:val="0"/>
                <w:szCs w:val="21"/>
                <w14:textFill>
                  <w14:solidFill>
                    <w14:schemeClr w14:val="tx1"/>
                  </w14:solidFill>
                </w14:textFill>
              </w:rPr>
            </w:pPr>
          </w:p>
        </w:tc>
        <w:tc>
          <w:tcPr>
            <w:tcW w:w="2552" w:type="dxa"/>
            <w:tcBorders>
              <w:top w:val="nil"/>
              <w:left w:val="nil"/>
              <w:bottom w:val="single" w:color="000000" w:sz="4" w:space="0"/>
              <w:right w:val="single" w:color="000000" w:sz="4" w:space="0"/>
            </w:tcBorders>
            <w:shd w:val="clear" w:color="auto" w:fill="auto"/>
            <w:vAlign w:val="center"/>
          </w:tcPr>
          <w:p w14:paraId="258C6A2B">
            <w:pPr>
              <w:widowControl/>
              <w:jc w:val="right"/>
              <w:rPr>
                <w:rFonts w:ascii="宋体" w:hAnsi="宋体" w:cs="Arial"/>
                <w:color w:val="000000" w:themeColor="text1"/>
                <w:kern w:val="0"/>
                <w:szCs w:val="21"/>
                <w14:textFill>
                  <w14:solidFill>
                    <w14:schemeClr w14:val="tx1"/>
                  </w14:solidFill>
                </w14:textFill>
              </w:rPr>
            </w:pPr>
          </w:p>
        </w:tc>
      </w:tr>
      <w:tr w14:paraId="7F2E88C9">
        <w:tblPrEx>
          <w:tblCellMar>
            <w:top w:w="0" w:type="dxa"/>
            <w:left w:w="108" w:type="dxa"/>
            <w:bottom w:w="0" w:type="dxa"/>
            <w:right w:w="108" w:type="dxa"/>
          </w:tblCellMar>
        </w:tblPrEx>
        <w:trPr>
          <w:trHeight w:val="397" w:hRule="atLeast"/>
          <w:jc w:val="center"/>
        </w:trPr>
        <w:tc>
          <w:tcPr>
            <w:tcW w:w="724" w:type="dxa"/>
            <w:tcBorders>
              <w:top w:val="nil"/>
              <w:left w:val="single" w:color="000000" w:sz="8" w:space="0"/>
              <w:bottom w:val="single" w:color="000000" w:sz="4" w:space="0"/>
              <w:right w:val="single" w:color="000000" w:sz="4" w:space="0"/>
            </w:tcBorders>
            <w:shd w:val="clear" w:color="auto" w:fill="auto"/>
            <w:vAlign w:val="center"/>
          </w:tcPr>
          <w:p w14:paraId="0603E4BD">
            <w:pPr>
              <w:widowControl/>
              <w:jc w:val="center"/>
              <w:rPr>
                <w:rFonts w:ascii="宋体" w:hAnsi="宋体" w:cs="Arial"/>
                <w:color w:val="000000" w:themeColor="text1"/>
                <w:kern w:val="0"/>
                <w:szCs w:val="21"/>
                <w14:textFill>
                  <w14:solidFill>
                    <w14:schemeClr w14:val="tx1"/>
                  </w14:solidFill>
                </w14:textFill>
              </w:rPr>
            </w:pPr>
          </w:p>
        </w:tc>
        <w:tc>
          <w:tcPr>
            <w:tcW w:w="5103" w:type="dxa"/>
            <w:tcBorders>
              <w:top w:val="nil"/>
              <w:left w:val="nil"/>
              <w:bottom w:val="single" w:color="000000" w:sz="4" w:space="0"/>
              <w:right w:val="single" w:color="000000" w:sz="4" w:space="0"/>
            </w:tcBorders>
            <w:shd w:val="clear" w:color="auto" w:fill="auto"/>
            <w:vAlign w:val="center"/>
          </w:tcPr>
          <w:p w14:paraId="5E6AD50A">
            <w:pPr>
              <w:widowControl/>
              <w:jc w:val="center"/>
              <w:rPr>
                <w:rFonts w:ascii="宋体" w:hAnsi="宋体" w:cs="Arial"/>
                <w:color w:val="000000" w:themeColor="text1"/>
                <w:kern w:val="0"/>
                <w:szCs w:val="21"/>
                <w14:textFill>
                  <w14:solidFill>
                    <w14:schemeClr w14:val="tx1"/>
                  </w14:solidFill>
                </w14:textFill>
              </w:rPr>
            </w:pPr>
          </w:p>
        </w:tc>
        <w:tc>
          <w:tcPr>
            <w:tcW w:w="2552" w:type="dxa"/>
            <w:tcBorders>
              <w:top w:val="nil"/>
              <w:left w:val="nil"/>
              <w:bottom w:val="single" w:color="000000" w:sz="4" w:space="0"/>
              <w:right w:val="single" w:color="000000" w:sz="4" w:space="0"/>
            </w:tcBorders>
            <w:shd w:val="clear" w:color="auto" w:fill="auto"/>
            <w:vAlign w:val="center"/>
          </w:tcPr>
          <w:p w14:paraId="437BCB2E">
            <w:pPr>
              <w:widowControl/>
              <w:jc w:val="right"/>
              <w:rPr>
                <w:rFonts w:ascii="宋体" w:hAnsi="宋体" w:cs="Arial"/>
                <w:color w:val="000000" w:themeColor="text1"/>
                <w:kern w:val="0"/>
                <w:szCs w:val="21"/>
                <w14:textFill>
                  <w14:solidFill>
                    <w14:schemeClr w14:val="tx1"/>
                  </w14:solidFill>
                </w14:textFill>
              </w:rPr>
            </w:pPr>
          </w:p>
        </w:tc>
      </w:tr>
      <w:tr w14:paraId="3C2ABB29">
        <w:tblPrEx>
          <w:tblCellMar>
            <w:top w:w="0" w:type="dxa"/>
            <w:left w:w="108" w:type="dxa"/>
            <w:bottom w:w="0" w:type="dxa"/>
            <w:right w:w="108" w:type="dxa"/>
          </w:tblCellMar>
        </w:tblPrEx>
        <w:trPr>
          <w:trHeight w:val="397" w:hRule="atLeast"/>
          <w:jc w:val="center"/>
        </w:trPr>
        <w:tc>
          <w:tcPr>
            <w:tcW w:w="724" w:type="dxa"/>
            <w:tcBorders>
              <w:top w:val="nil"/>
              <w:left w:val="single" w:color="000000" w:sz="8" w:space="0"/>
              <w:bottom w:val="single" w:color="000000" w:sz="4" w:space="0"/>
              <w:right w:val="single" w:color="000000" w:sz="4" w:space="0"/>
            </w:tcBorders>
            <w:shd w:val="clear" w:color="auto" w:fill="auto"/>
            <w:vAlign w:val="center"/>
          </w:tcPr>
          <w:p w14:paraId="3742887F">
            <w:pPr>
              <w:widowControl/>
              <w:jc w:val="center"/>
              <w:rPr>
                <w:rFonts w:ascii="宋体" w:hAnsi="宋体" w:cs="Arial"/>
                <w:color w:val="000000" w:themeColor="text1"/>
                <w:kern w:val="0"/>
                <w:szCs w:val="21"/>
                <w14:textFill>
                  <w14:solidFill>
                    <w14:schemeClr w14:val="tx1"/>
                  </w14:solidFill>
                </w14:textFill>
              </w:rPr>
            </w:pPr>
          </w:p>
        </w:tc>
        <w:tc>
          <w:tcPr>
            <w:tcW w:w="5103" w:type="dxa"/>
            <w:tcBorders>
              <w:top w:val="nil"/>
              <w:left w:val="nil"/>
              <w:bottom w:val="single" w:color="000000" w:sz="4" w:space="0"/>
              <w:right w:val="single" w:color="000000" w:sz="4" w:space="0"/>
            </w:tcBorders>
            <w:shd w:val="clear" w:color="auto" w:fill="auto"/>
            <w:vAlign w:val="center"/>
          </w:tcPr>
          <w:p w14:paraId="0E7B452F">
            <w:pPr>
              <w:widowControl/>
              <w:jc w:val="center"/>
              <w:rPr>
                <w:rFonts w:ascii="宋体" w:hAnsi="宋体" w:cs="Arial"/>
                <w:color w:val="000000" w:themeColor="text1"/>
                <w:kern w:val="0"/>
                <w:szCs w:val="21"/>
                <w14:textFill>
                  <w14:solidFill>
                    <w14:schemeClr w14:val="tx1"/>
                  </w14:solidFill>
                </w14:textFill>
              </w:rPr>
            </w:pPr>
          </w:p>
        </w:tc>
        <w:tc>
          <w:tcPr>
            <w:tcW w:w="2552" w:type="dxa"/>
            <w:tcBorders>
              <w:top w:val="nil"/>
              <w:left w:val="nil"/>
              <w:bottom w:val="single" w:color="000000" w:sz="4" w:space="0"/>
              <w:right w:val="single" w:color="000000" w:sz="4" w:space="0"/>
            </w:tcBorders>
            <w:shd w:val="clear" w:color="auto" w:fill="auto"/>
            <w:vAlign w:val="center"/>
          </w:tcPr>
          <w:p w14:paraId="2A19D5C5">
            <w:pPr>
              <w:widowControl/>
              <w:jc w:val="right"/>
              <w:rPr>
                <w:rFonts w:ascii="宋体" w:hAnsi="宋体" w:cs="Arial"/>
                <w:color w:val="000000" w:themeColor="text1"/>
                <w:kern w:val="0"/>
                <w:szCs w:val="21"/>
                <w14:textFill>
                  <w14:solidFill>
                    <w14:schemeClr w14:val="tx1"/>
                  </w14:solidFill>
                </w14:textFill>
              </w:rPr>
            </w:pPr>
          </w:p>
        </w:tc>
      </w:tr>
      <w:tr w14:paraId="23AA57C7">
        <w:tblPrEx>
          <w:tblCellMar>
            <w:top w:w="0" w:type="dxa"/>
            <w:left w:w="108" w:type="dxa"/>
            <w:bottom w:w="0" w:type="dxa"/>
            <w:right w:w="108" w:type="dxa"/>
          </w:tblCellMar>
        </w:tblPrEx>
        <w:trPr>
          <w:trHeight w:val="397" w:hRule="atLeast"/>
          <w:jc w:val="center"/>
        </w:trPr>
        <w:tc>
          <w:tcPr>
            <w:tcW w:w="724" w:type="dxa"/>
            <w:tcBorders>
              <w:top w:val="nil"/>
              <w:left w:val="single" w:color="000000" w:sz="8" w:space="0"/>
              <w:bottom w:val="single" w:color="000000" w:sz="4" w:space="0"/>
              <w:right w:val="single" w:color="000000" w:sz="4" w:space="0"/>
            </w:tcBorders>
            <w:shd w:val="clear" w:color="auto" w:fill="auto"/>
            <w:vAlign w:val="center"/>
          </w:tcPr>
          <w:p w14:paraId="4E5AF081">
            <w:pPr>
              <w:widowControl/>
              <w:jc w:val="center"/>
              <w:rPr>
                <w:rFonts w:ascii="宋体" w:hAnsi="宋体" w:cs="Arial"/>
                <w:color w:val="000000" w:themeColor="text1"/>
                <w:kern w:val="0"/>
                <w:szCs w:val="21"/>
                <w14:textFill>
                  <w14:solidFill>
                    <w14:schemeClr w14:val="tx1"/>
                  </w14:solidFill>
                </w14:textFill>
              </w:rPr>
            </w:pPr>
          </w:p>
        </w:tc>
        <w:tc>
          <w:tcPr>
            <w:tcW w:w="5103" w:type="dxa"/>
            <w:tcBorders>
              <w:top w:val="nil"/>
              <w:left w:val="nil"/>
              <w:bottom w:val="single" w:color="000000" w:sz="4" w:space="0"/>
              <w:right w:val="single" w:color="000000" w:sz="4" w:space="0"/>
            </w:tcBorders>
            <w:shd w:val="clear" w:color="auto" w:fill="auto"/>
            <w:vAlign w:val="center"/>
          </w:tcPr>
          <w:p w14:paraId="11C97230">
            <w:pPr>
              <w:widowControl/>
              <w:jc w:val="center"/>
              <w:rPr>
                <w:rFonts w:ascii="宋体" w:hAnsi="宋体" w:cs="Arial"/>
                <w:color w:val="000000" w:themeColor="text1"/>
                <w:kern w:val="0"/>
                <w:szCs w:val="21"/>
                <w14:textFill>
                  <w14:solidFill>
                    <w14:schemeClr w14:val="tx1"/>
                  </w14:solidFill>
                </w14:textFill>
              </w:rPr>
            </w:pPr>
          </w:p>
        </w:tc>
        <w:tc>
          <w:tcPr>
            <w:tcW w:w="2552" w:type="dxa"/>
            <w:tcBorders>
              <w:top w:val="nil"/>
              <w:left w:val="nil"/>
              <w:bottom w:val="single" w:color="000000" w:sz="4" w:space="0"/>
              <w:right w:val="single" w:color="000000" w:sz="4" w:space="0"/>
            </w:tcBorders>
            <w:shd w:val="clear" w:color="auto" w:fill="auto"/>
            <w:vAlign w:val="center"/>
          </w:tcPr>
          <w:p w14:paraId="782E4F6F">
            <w:pPr>
              <w:widowControl/>
              <w:jc w:val="right"/>
              <w:rPr>
                <w:rFonts w:ascii="宋体" w:hAnsi="宋体" w:cs="Arial"/>
                <w:color w:val="000000" w:themeColor="text1"/>
                <w:kern w:val="0"/>
                <w:szCs w:val="21"/>
                <w14:textFill>
                  <w14:solidFill>
                    <w14:schemeClr w14:val="tx1"/>
                  </w14:solidFill>
                </w14:textFill>
              </w:rPr>
            </w:pPr>
          </w:p>
        </w:tc>
      </w:tr>
      <w:tr w14:paraId="2D530043">
        <w:tblPrEx>
          <w:tblCellMar>
            <w:top w:w="0" w:type="dxa"/>
            <w:left w:w="108" w:type="dxa"/>
            <w:bottom w:w="0" w:type="dxa"/>
            <w:right w:w="108" w:type="dxa"/>
          </w:tblCellMar>
        </w:tblPrEx>
        <w:trPr>
          <w:trHeight w:val="397" w:hRule="atLeast"/>
          <w:jc w:val="center"/>
        </w:trPr>
        <w:tc>
          <w:tcPr>
            <w:tcW w:w="724" w:type="dxa"/>
            <w:tcBorders>
              <w:top w:val="nil"/>
              <w:left w:val="single" w:color="000000" w:sz="8" w:space="0"/>
              <w:bottom w:val="single" w:color="000000" w:sz="4" w:space="0"/>
              <w:right w:val="single" w:color="000000" w:sz="4" w:space="0"/>
            </w:tcBorders>
            <w:shd w:val="clear" w:color="auto" w:fill="auto"/>
            <w:vAlign w:val="center"/>
          </w:tcPr>
          <w:p w14:paraId="58F629E9">
            <w:pPr>
              <w:widowControl/>
              <w:jc w:val="center"/>
              <w:rPr>
                <w:rFonts w:ascii="宋体" w:hAnsi="宋体" w:cs="Arial"/>
                <w:color w:val="000000" w:themeColor="text1"/>
                <w:kern w:val="0"/>
                <w:szCs w:val="21"/>
                <w14:textFill>
                  <w14:solidFill>
                    <w14:schemeClr w14:val="tx1"/>
                  </w14:solidFill>
                </w14:textFill>
              </w:rPr>
            </w:pPr>
          </w:p>
        </w:tc>
        <w:tc>
          <w:tcPr>
            <w:tcW w:w="5103" w:type="dxa"/>
            <w:tcBorders>
              <w:top w:val="nil"/>
              <w:left w:val="nil"/>
              <w:bottom w:val="single" w:color="000000" w:sz="4" w:space="0"/>
              <w:right w:val="single" w:color="000000" w:sz="4" w:space="0"/>
            </w:tcBorders>
            <w:shd w:val="clear" w:color="auto" w:fill="auto"/>
            <w:vAlign w:val="center"/>
          </w:tcPr>
          <w:p w14:paraId="76B2A775">
            <w:pPr>
              <w:widowControl/>
              <w:jc w:val="center"/>
              <w:rPr>
                <w:rFonts w:ascii="宋体" w:hAnsi="宋体" w:cs="Arial"/>
                <w:color w:val="000000" w:themeColor="text1"/>
                <w:kern w:val="0"/>
                <w:szCs w:val="21"/>
                <w14:textFill>
                  <w14:solidFill>
                    <w14:schemeClr w14:val="tx1"/>
                  </w14:solidFill>
                </w14:textFill>
              </w:rPr>
            </w:pPr>
          </w:p>
        </w:tc>
        <w:tc>
          <w:tcPr>
            <w:tcW w:w="2552" w:type="dxa"/>
            <w:tcBorders>
              <w:top w:val="nil"/>
              <w:left w:val="nil"/>
              <w:bottom w:val="single" w:color="000000" w:sz="4" w:space="0"/>
              <w:right w:val="single" w:color="000000" w:sz="4" w:space="0"/>
            </w:tcBorders>
            <w:shd w:val="clear" w:color="auto" w:fill="auto"/>
            <w:vAlign w:val="center"/>
          </w:tcPr>
          <w:p w14:paraId="3ECF2F36">
            <w:pPr>
              <w:widowControl/>
              <w:jc w:val="right"/>
              <w:rPr>
                <w:rFonts w:ascii="宋体" w:hAnsi="宋体" w:cs="Arial"/>
                <w:color w:val="000000" w:themeColor="text1"/>
                <w:kern w:val="0"/>
                <w:szCs w:val="21"/>
                <w14:textFill>
                  <w14:solidFill>
                    <w14:schemeClr w14:val="tx1"/>
                  </w14:solidFill>
                </w14:textFill>
              </w:rPr>
            </w:pPr>
          </w:p>
        </w:tc>
      </w:tr>
      <w:tr w14:paraId="55D6E88D">
        <w:tblPrEx>
          <w:tblCellMar>
            <w:top w:w="0" w:type="dxa"/>
            <w:left w:w="108" w:type="dxa"/>
            <w:bottom w:w="0" w:type="dxa"/>
            <w:right w:w="108" w:type="dxa"/>
          </w:tblCellMar>
        </w:tblPrEx>
        <w:trPr>
          <w:trHeight w:val="397" w:hRule="atLeast"/>
          <w:jc w:val="center"/>
        </w:trPr>
        <w:tc>
          <w:tcPr>
            <w:tcW w:w="724" w:type="dxa"/>
            <w:tcBorders>
              <w:top w:val="nil"/>
              <w:left w:val="single" w:color="000000" w:sz="8" w:space="0"/>
              <w:bottom w:val="single" w:color="000000" w:sz="4" w:space="0"/>
              <w:right w:val="single" w:color="000000" w:sz="4" w:space="0"/>
            </w:tcBorders>
            <w:shd w:val="clear" w:color="auto" w:fill="auto"/>
            <w:vAlign w:val="center"/>
          </w:tcPr>
          <w:p w14:paraId="643DD56B">
            <w:pPr>
              <w:widowControl/>
              <w:jc w:val="center"/>
              <w:rPr>
                <w:rFonts w:ascii="宋体" w:hAnsi="宋体" w:cs="Arial"/>
                <w:color w:val="000000" w:themeColor="text1"/>
                <w:kern w:val="0"/>
                <w:szCs w:val="21"/>
                <w14:textFill>
                  <w14:solidFill>
                    <w14:schemeClr w14:val="tx1"/>
                  </w14:solidFill>
                </w14:textFill>
              </w:rPr>
            </w:pPr>
          </w:p>
        </w:tc>
        <w:tc>
          <w:tcPr>
            <w:tcW w:w="5103" w:type="dxa"/>
            <w:tcBorders>
              <w:top w:val="nil"/>
              <w:left w:val="nil"/>
              <w:bottom w:val="single" w:color="000000" w:sz="4" w:space="0"/>
              <w:right w:val="single" w:color="000000" w:sz="4" w:space="0"/>
            </w:tcBorders>
            <w:shd w:val="clear" w:color="auto" w:fill="auto"/>
            <w:vAlign w:val="center"/>
          </w:tcPr>
          <w:p w14:paraId="333143DC">
            <w:pPr>
              <w:widowControl/>
              <w:jc w:val="center"/>
              <w:rPr>
                <w:rFonts w:ascii="宋体" w:hAnsi="宋体" w:cs="Arial"/>
                <w:color w:val="000000" w:themeColor="text1"/>
                <w:kern w:val="0"/>
                <w:szCs w:val="21"/>
                <w14:textFill>
                  <w14:solidFill>
                    <w14:schemeClr w14:val="tx1"/>
                  </w14:solidFill>
                </w14:textFill>
              </w:rPr>
            </w:pPr>
          </w:p>
        </w:tc>
        <w:tc>
          <w:tcPr>
            <w:tcW w:w="2552" w:type="dxa"/>
            <w:tcBorders>
              <w:top w:val="nil"/>
              <w:left w:val="nil"/>
              <w:bottom w:val="single" w:color="000000" w:sz="4" w:space="0"/>
              <w:right w:val="single" w:color="000000" w:sz="4" w:space="0"/>
            </w:tcBorders>
            <w:shd w:val="clear" w:color="auto" w:fill="auto"/>
            <w:vAlign w:val="center"/>
          </w:tcPr>
          <w:p w14:paraId="04052E89">
            <w:pPr>
              <w:widowControl/>
              <w:jc w:val="right"/>
              <w:rPr>
                <w:rFonts w:ascii="宋体" w:hAnsi="宋体" w:cs="Arial"/>
                <w:color w:val="000000" w:themeColor="text1"/>
                <w:kern w:val="0"/>
                <w:szCs w:val="21"/>
                <w14:textFill>
                  <w14:solidFill>
                    <w14:schemeClr w14:val="tx1"/>
                  </w14:solidFill>
                </w14:textFill>
              </w:rPr>
            </w:pPr>
          </w:p>
        </w:tc>
      </w:tr>
      <w:tr w14:paraId="5E5E0554">
        <w:tblPrEx>
          <w:tblCellMar>
            <w:top w:w="0" w:type="dxa"/>
            <w:left w:w="108" w:type="dxa"/>
            <w:bottom w:w="0" w:type="dxa"/>
            <w:right w:w="108" w:type="dxa"/>
          </w:tblCellMar>
        </w:tblPrEx>
        <w:trPr>
          <w:trHeight w:val="397" w:hRule="atLeast"/>
          <w:jc w:val="center"/>
        </w:trPr>
        <w:tc>
          <w:tcPr>
            <w:tcW w:w="724" w:type="dxa"/>
            <w:tcBorders>
              <w:top w:val="nil"/>
              <w:left w:val="single" w:color="000000" w:sz="8" w:space="0"/>
              <w:bottom w:val="single" w:color="000000" w:sz="4" w:space="0"/>
              <w:right w:val="single" w:color="000000" w:sz="4" w:space="0"/>
            </w:tcBorders>
            <w:shd w:val="clear" w:color="auto" w:fill="auto"/>
            <w:vAlign w:val="center"/>
          </w:tcPr>
          <w:p w14:paraId="30A45E90">
            <w:pPr>
              <w:widowControl/>
              <w:jc w:val="center"/>
              <w:rPr>
                <w:rFonts w:ascii="宋体" w:hAnsi="宋体" w:cs="Arial"/>
                <w:color w:val="000000" w:themeColor="text1"/>
                <w:kern w:val="0"/>
                <w:szCs w:val="21"/>
                <w14:textFill>
                  <w14:solidFill>
                    <w14:schemeClr w14:val="tx1"/>
                  </w14:solidFill>
                </w14:textFill>
              </w:rPr>
            </w:pPr>
          </w:p>
        </w:tc>
        <w:tc>
          <w:tcPr>
            <w:tcW w:w="5103" w:type="dxa"/>
            <w:tcBorders>
              <w:top w:val="nil"/>
              <w:left w:val="nil"/>
              <w:bottom w:val="single" w:color="000000" w:sz="4" w:space="0"/>
              <w:right w:val="single" w:color="000000" w:sz="4" w:space="0"/>
            </w:tcBorders>
            <w:shd w:val="clear" w:color="auto" w:fill="auto"/>
            <w:vAlign w:val="center"/>
          </w:tcPr>
          <w:p w14:paraId="2CCC7F06">
            <w:pPr>
              <w:widowControl/>
              <w:jc w:val="center"/>
              <w:rPr>
                <w:rFonts w:ascii="宋体" w:hAnsi="宋体" w:cs="Arial"/>
                <w:color w:val="000000" w:themeColor="text1"/>
                <w:kern w:val="0"/>
                <w:szCs w:val="21"/>
                <w14:textFill>
                  <w14:solidFill>
                    <w14:schemeClr w14:val="tx1"/>
                  </w14:solidFill>
                </w14:textFill>
              </w:rPr>
            </w:pPr>
          </w:p>
        </w:tc>
        <w:tc>
          <w:tcPr>
            <w:tcW w:w="2552" w:type="dxa"/>
            <w:tcBorders>
              <w:top w:val="nil"/>
              <w:left w:val="nil"/>
              <w:bottom w:val="single" w:color="000000" w:sz="4" w:space="0"/>
              <w:right w:val="single" w:color="000000" w:sz="4" w:space="0"/>
            </w:tcBorders>
            <w:shd w:val="clear" w:color="auto" w:fill="auto"/>
            <w:vAlign w:val="center"/>
          </w:tcPr>
          <w:p w14:paraId="3C31D24F">
            <w:pPr>
              <w:widowControl/>
              <w:jc w:val="right"/>
              <w:rPr>
                <w:rFonts w:ascii="宋体" w:hAnsi="宋体" w:cs="Arial"/>
                <w:color w:val="000000" w:themeColor="text1"/>
                <w:kern w:val="0"/>
                <w:szCs w:val="21"/>
                <w14:textFill>
                  <w14:solidFill>
                    <w14:schemeClr w14:val="tx1"/>
                  </w14:solidFill>
                </w14:textFill>
              </w:rPr>
            </w:pPr>
          </w:p>
        </w:tc>
      </w:tr>
      <w:tr w14:paraId="3E4A917F">
        <w:tblPrEx>
          <w:tblCellMar>
            <w:top w:w="0" w:type="dxa"/>
            <w:left w:w="108" w:type="dxa"/>
            <w:bottom w:w="0" w:type="dxa"/>
            <w:right w:w="108" w:type="dxa"/>
          </w:tblCellMar>
        </w:tblPrEx>
        <w:trPr>
          <w:trHeight w:val="397" w:hRule="atLeast"/>
          <w:jc w:val="center"/>
        </w:trPr>
        <w:tc>
          <w:tcPr>
            <w:tcW w:w="5827"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14:paraId="1830EC37">
            <w:pPr>
              <w:widowControl/>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合  计（1+2+3+4+……）</w:t>
            </w:r>
          </w:p>
        </w:tc>
        <w:tc>
          <w:tcPr>
            <w:tcW w:w="2552" w:type="dxa"/>
            <w:tcBorders>
              <w:top w:val="nil"/>
              <w:left w:val="nil"/>
              <w:bottom w:val="single" w:color="000000" w:sz="8" w:space="0"/>
              <w:right w:val="single" w:color="000000" w:sz="4" w:space="0"/>
            </w:tcBorders>
            <w:shd w:val="clear" w:color="auto" w:fill="auto"/>
            <w:vAlign w:val="center"/>
          </w:tcPr>
          <w:p w14:paraId="27E2AE6F">
            <w:pPr>
              <w:widowControl/>
              <w:jc w:val="right"/>
              <w:rPr>
                <w:rFonts w:ascii="宋体" w:hAnsi="宋体" w:cs="Arial"/>
                <w:color w:val="000000" w:themeColor="text1"/>
                <w:kern w:val="0"/>
                <w:szCs w:val="21"/>
                <w14:textFill>
                  <w14:solidFill>
                    <w14:schemeClr w14:val="tx1"/>
                  </w14:solidFill>
                </w14:textFill>
              </w:rPr>
            </w:pPr>
          </w:p>
        </w:tc>
      </w:tr>
    </w:tbl>
    <w:p w14:paraId="536D1985">
      <w:pPr>
        <w:spacing w:line="480" w:lineRule="exac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注：投标报价汇总表汇总金额须与投标函报价金额一致。</w:t>
      </w:r>
    </w:p>
    <w:p w14:paraId="1B78EE04">
      <w:pPr>
        <w:spacing w:line="4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投标单位（盖章）：</w:t>
      </w:r>
    </w:p>
    <w:p w14:paraId="094FDC1C">
      <w:pPr>
        <w:spacing w:line="4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法定代表人或其授权委托人（签字或盖章）：</w:t>
      </w:r>
    </w:p>
    <w:p w14:paraId="57BBCAAE">
      <w:pPr>
        <w:spacing w:line="4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年   月   日</w:t>
      </w:r>
    </w:p>
    <w:p w14:paraId="5A5B4B01">
      <w:pPr>
        <w:widowControl/>
        <w:jc w:val="left"/>
        <w:rPr>
          <w:rFonts w:ascii="Arial" w:hAnsi="Arial" w:cs="宋体"/>
          <w:b/>
          <w:bCs/>
          <w:color w:val="000000" w:themeColor="text1"/>
          <w:sz w:val="32"/>
          <w:szCs w:val="32"/>
          <w14:textFill>
            <w14:solidFill>
              <w14:schemeClr w14:val="tx1"/>
            </w14:solidFill>
          </w14:textFill>
        </w:rPr>
      </w:pPr>
      <w:r>
        <w:rPr>
          <w:color w:val="000000" w:themeColor="text1"/>
          <w14:textFill>
            <w14:solidFill>
              <w14:schemeClr w14:val="tx1"/>
            </w14:solidFill>
          </w14:textFill>
        </w:rPr>
        <w:br w:type="page"/>
      </w:r>
    </w:p>
    <w:p w14:paraId="18B51B38">
      <w:pPr>
        <w:pStyle w:val="163"/>
        <w:keepNext/>
        <w:keepLines/>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投标分项报价明细表</w:t>
      </w:r>
    </w:p>
    <w:tbl>
      <w:tblPr>
        <w:tblStyle w:val="48"/>
        <w:tblW w:w="7370" w:type="dxa"/>
        <w:jc w:val="center"/>
        <w:tblLayout w:type="fixed"/>
        <w:tblCellMar>
          <w:top w:w="0" w:type="dxa"/>
          <w:left w:w="108" w:type="dxa"/>
          <w:bottom w:w="0" w:type="dxa"/>
          <w:right w:w="108" w:type="dxa"/>
        </w:tblCellMar>
      </w:tblPr>
      <w:tblGrid>
        <w:gridCol w:w="1087"/>
        <w:gridCol w:w="3404"/>
        <w:gridCol w:w="1087"/>
        <w:gridCol w:w="1087"/>
        <w:gridCol w:w="1087"/>
        <w:gridCol w:w="1087"/>
      </w:tblGrid>
      <w:tr w14:paraId="240831FD">
        <w:tblPrEx>
          <w:tblCellMar>
            <w:top w:w="0" w:type="dxa"/>
            <w:left w:w="108" w:type="dxa"/>
            <w:bottom w:w="0" w:type="dxa"/>
            <w:right w:w="108" w:type="dxa"/>
          </w:tblCellMar>
        </w:tblPrEx>
        <w:trPr>
          <w:trHeight w:val="340" w:hRule="exact"/>
          <w:jc w:val="center"/>
        </w:trPr>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8D4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b/>
                <w:bCs/>
                <w:color w:val="000000" w:themeColor="text1"/>
                <w:szCs w:val="21"/>
                <w14:textFill>
                  <w14:solidFill>
                    <w14:schemeClr w14:val="tx1"/>
                  </w14:solidFill>
                </w14:textFill>
              </w:rPr>
            </w:pPr>
            <w:r>
              <w:rPr>
                <w:rFonts w:hint="eastAsia" w:ascii="宋体" w:hAnsi="宋体" w:eastAsia="宋体" w:cs="Times New Roman"/>
                <w:b/>
                <w:bCs/>
                <w:color w:val="000000" w:themeColor="text1"/>
                <w:szCs w:val="21"/>
                <w14:textFill>
                  <w14:solidFill>
                    <w14:schemeClr w14:val="tx1"/>
                  </w14:solidFill>
                </w14:textFill>
              </w:rPr>
              <w:t>序号</w:t>
            </w:r>
          </w:p>
        </w:tc>
        <w:tc>
          <w:tcPr>
            <w:tcW w:w="3404" w:type="dxa"/>
            <w:tcBorders>
              <w:top w:val="single" w:color="auto" w:sz="4" w:space="0"/>
              <w:left w:val="nil"/>
              <w:bottom w:val="single" w:color="auto" w:sz="4" w:space="0"/>
              <w:right w:val="single" w:color="auto" w:sz="4" w:space="0"/>
            </w:tcBorders>
            <w:shd w:val="clear" w:color="auto" w:fill="auto"/>
            <w:noWrap/>
            <w:vAlign w:val="center"/>
          </w:tcPr>
          <w:p w14:paraId="3274CF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b/>
                <w:bCs/>
                <w:color w:val="000000" w:themeColor="text1"/>
                <w:szCs w:val="21"/>
                <w14:textFill>
                  <w14:solidFill>
                    <w14:schemeClr w14:val="tx1"/>
                  </w14:solidFill>
                </w14:textFill>
              </w:rPr>
            </w:pPr>
            <w:r>
              <w:rPr>
                <w:rFonts w:hint="eastAsia" w:ascii="宋体" w:hAnsi="宋体" w:eastAsia="宋体" w:cs="Times New Roman"/>
                <w:b/>
                <w:bCs/>
                <w:color w:val="000000" w:themeColor="text1"/>
                <w:szCs w:val="21"/>
                <w14:textFill>
                  <w14:solidFill>
                    <w14:schemeClr w14:val="tx1"/>
                  </w14:solidFill>
                </w14:textFill>
              </w:rPr>
              <w:t>建设内容</w:t>
            </w:r>
          </w:p>
        </w:tc>
        <w:tc>
          <w:tcPr>
            <w:tcW w:w="1087" w:type="dxa"/>
            <w:tcBorders>
              <w:top w:val="single" w:color="auto" w:sz="4" w:space="0"/>
              <w:left w:val="nil"/>
              <w:bottom w:val="single" w:color="auto" w:sz="4" w:space="0"/>
              <w:right w:val="single" w:color="auto" w:sz="4" w:space="0"/>
            </w:tcBorders>
            <w:shd w:val="clear" w:color="auto" w:fill="auto"/>
            <w:noWrap/>
            <w:vAlign w:val="center"/>
          </w:tcPr>
          <w:p w14:paraId="20DA9F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b/>
                <w:bCs/>
                <w:color w:val="000000" w:themeColor="text1"/>
                <w:szCs w:val="21"/>
                <w14:textFill>
                  <w14:solidFill>
                    <w14:schemeClr w14:val="tx1"/>
                  </w14:solidFill>
                </w14:textFill>
              </w:rPr>
            </w:pPr>
            <w:r>
              <w:rPr>
                <w:rFonts w:hint="eastAsia" w:ascii="宋体" w:hAnsi="宋体" w:eastAsia="宋体" w:cs="Times New Roman"/>
                <w:b/>
                <w:bCs/>
                <w:color w:val="000000" w:themeColor="text1"/>
                <w:szCs w:val="21"/>
                <w14:textFill>
                  <w14:solidFill>
                    <w14:schemeClr w14:val="tx1"/>
                  </w14:solidFill>
                </w14:textFill>
              </w:rPr>
              <w:t>单价</w:t>
            </w:r>
          </w:p>
        </w:tc>
        <w:tc>
          <w:tcPr>
            <w:tcW w:w="1087" w:type="dxa"/>
            <w:tcBorders>
              <w:top w:val="single" w:color="auto" w:sz="4" w:space="0"/>
              <w:left w:val="nil"/>
              <w:bottom w:val="single" w:color="auto" w:sz="4" w:space="0"/>
              <w:right w:val="single" w:color="auto" w:sz="4" w:space="0"/>
            </w:tcBorders>
            <w:shd w:val="clear" w:color="auto" w:fill="auto"/>
            <w:noWrap/>
            <w:vAlign w:val="center"/>
          </w:tcPr>
          <w:p w14:paraId="3E3481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b/>
                <w:bCs/>
                <w:color w:val="000000" w:themeColor="text1"/>
                <w:szCs w:val="21"/>
                <w14:textFill>
                  <w14:solidFill>
                    <w14:schemeClr w14:val="tx1"/>
                  </w14:solidFill>
                </w14:textFill>
              </w:rPr>
            </w:pPr>
            <w:r>
              <w:rPr>
                <w:rFonts w:hint="eastAsia" w:ascii="宋体" w:hAnsi="宋体" w:eastAsia="宋体" w:cs="Times New Roman"/>
                <w:b/>
                <w:bCs/>
                <w:color w:val="000000" w:themeColor="text1"/>
                <w:szCs w:val="21"/>
                <w14:textFill>
                  <w14:solidFill>
                    <w14:schemeClr w14:val="tx1"/>
                  </w14:solidFill>
                </w14:textFill>
              </w:rPr>
              <w:t>数量</w:t>
            </w:r>
          </w:p>
        </w:tc>
        <w:tc>
          <w:tcPr>
            <w:tcW w:w="1087" w:type="dxa"/>
            <w:tcBorders>
              <w:top w:val="single" w:color="auto" w:sz="4" w:space="0"/>
              <w:left w:val="nil"/>
              <w:bottom w:val="single" w:color="auto" w:sz="4" w:space="0"/>
              <w:right w:val="single" w:color="auto" w:sz="4" w:space="0"/>
            </w:tcBorders>
            <w:shd w:val="clear" w:color="auto" w:fill="auto"/>
            <w:noWrap/>
            <w:vAlign w:val="center"/>
          </w:tcPr>
          <w:p w14:paraId="1ECE50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b/>
                <w:bCs/>
                <w:color w:val="000000" w:themeColor="text1"/>
                <w:szCs w:val="21"/>
                <w14:textFill>
                  <w14:solidFill>
                    <w14:schemeClr w14:val="tx1"/>
                  </w14:solidFill>
                </w14:textFill>
              </w:rPr>
            </w:pPr>
            <w:r>
              <w:rPr>
                <w:rFonts w:hint="eastAsia" w:ascii="宋体" w:hAnsi="宋体" w:eastAsia="宋体" w:cs="Times New Roman"/>
                <w:b/>
                <w:bCs/>
                <w:color w:val="000000" w:themeColor="text1"/>
                <w:szCs w:val="21"/>
                <w14:textFill>
                  <w14:solidFill>
                    <w14:schemeClr w14:val="tx1"/>
                  </w14:solidFill>
                </w14:textFill>
              </w:rPr>
              <w:t>单位</w:t>
            </w:r>
          </w:p>
        </w:tc>
        <w:tc>
          <w:tcPr>
            <w:tcW w:w="1087" w:type="dxa"/>
            <w:tcBorders>
              <w:top w:val="single" w:color="auto" w:sz="4" w:space="0"/>
              <w:left w:val="nil"/>
              <w:bottom w:val="single" w:color="auto" w:sz="4" w:space="0"/>
              <w:right w:val="single" w:color="auto" w:sz="4" w:space="0"/>
            </w:tcBorders>
            <w:shd w:val="clear" w:color="auto" w:fill="auto"/>
            <w:noWrap/>
            <w:vAlign w:val="center"/>
          </w:tcPr>
          <w:p w14:paraId="697F87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b/>
                <w:bCs/>
                <w:color w:val="000000" w:themeColor="text1"/>
                <w:szCs w:val="21"/>
                <w14:textFill>
                  <w14:solidFill>
                    <w14:schemeClr w14:val="tx1"/>
                  </w14:solidFill>
                </w14:textFill>
              </w:rPr>
            </w:pPr>
            <w:r>
              <w:rPr>
                <w:rFonts w:hint="eastAsia" w:ascii="宋体" w:hAnsi="宋体" w:eastAsia="宋体" w:cs="Times New Roman"/>
                <w:b/>
                <w:bCs/>
                <w:color w:val="000000" w:themeColor="text1"/>
                <w:szCs w:val="21"/>
                <w14:textFill>
                  <w14:solidFill>
                    <w14:schemeClr w14:val="tx1"/>
                  </w14:solidFill>
                </w14:textFill>
              </w:rPr>
              <w:t>金额</w:t>
            </w:r>
          </w:p>
        </w:tc>
      </w:tr>
      <w:tr w14:paraId="33063515">
        <w:tblPrEx>
          <w:tblCellMar>
            <w:top w:w="0" w:type="dxa"/>
            <w:left w:w="108" w:type="dxa"/>
            <w:bottom w:w="0" w:type="dxa"/>
            <w:right w:w="108" w:type="dxa"/>
          </w:tblCellMar>
        </w:tblPrEx>
        <w:trPr>
          <w:trHeight w:val="340" w:hRule="exact"/>
          <w:jc w:val="center"/>
        </w:trPr>
        <w:tc>
          <w:tcPr>
            <w:tcW w:w="1087" w:type="dxa"/>
            <w:tcBorders>
              <w:top w:val="nil"/>
              <w:left w:val="single" w:color="auto" w:sz="4" w:space="0"/>
              <w:bottom w:val="single" w:color="auto" w:sz="4" w:space="0"/>
              <w:right w:val="single" w:color="auto" w:sz="4" w:space="0"/>
            </w:tcBorders>
            <w:shd w:val="clear" w:color="000000" w:fill="DAE3F3" w:themeFill="accent1" w:themeFillTint="32"/>
            <w:noWrap/>
            <w:vAlign w:val="center"/>
          </w:tcPr>
          <w:p w14:paraId="3991DB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p>
        </w:tc>
        <w:tc>
          <w:tcPr>
            <w:tcW w:w="3404" w:type="dxa"/>
            <w:tcBorders>
              <w:top w:val="nil"/>
              <w:left w:val="nil"/>
              <w:bottom w:val="single" w:color="auto" w:sz="4" w:space="0"/>
              <w:right w:val="single" w:color="auto" w:sz="4" w:space="0"/>
            </w:tcBorders>
            <w:shd w:val="clear" w:color="000000" w:fill="DAE3F3" w:themeFill="accent1" w:themeFillTint="32"/>
            <w:noWrap/>
            <w:vAlign w:val="center"/>
          </w:tcPr>
          <w:p w14:paraId="735441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功能新增与优化</w:t>
            </w:r>
          </w:p>
        </w:tc>
        <w:tc>
          <w:tcPr>
            <w:tcW w:w="1087" w:type="dxa"/>
            <w:tcBorders>
              <w:top w:val="nil"/>
              <w:left w:val="nil"/>
              <w:bottom w:val="single" w:color="auto" w:sz="4" w:space="0"/>
              <w:right w:val="single" w:color="auto" w:sz="4" w:space="0"/>
            </w:tcBorders>
            <w:shd w:val="clear" w:color="000000" w:fill="DAE3F3" w:themeFill="accent1" w:themeFillTint="32"/>
            <w:noWrap/>
            <w:vAlign w:val="center"/>
          </w:tcPr>
          <w:p w14:paraId="29D3D4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DAE3F3" w:themeFill="accent1" w:themeFillTint="32"/>
            <w:noWrap/>
            <w:vAlign w:val="center"/>
          </w:tcPr>
          <w:p w14:paraId="1A2ABB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DAE3F3" w:themeFill="accent1" w:themeFillTint="32"/>
            <w:noWrap/>
            <w:vAlign w:val="center"/>
          </w:tcPr>
          <w:p w14:paraId="150502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DAE3F3" w:themeFill="accent1" w:themeFillTint="32"/>
            <w:noWrap/>
            <w:vAlign w:val="center"/>
          </w:tcPr>
          <w:p w14:paraId="343686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r>
      <w:tr w14:paraId="43E10284">
        <w:tblPrEx>
          <w:tblCellMar>
            <w:top w:w="0" w:type="dxa"/>
            <w:left w:w="108" w:type="dxa"/>
            <w:bottom w:w="0" w:type="dxa"/>
            <w:right w:w="108" w:type="dxa"/>
          </w:tblCellMar>
        </w:tblPrEx>
        <w:trPr>
          <w:trHeight w:val="340" w:hRule="exact"/>
          <w:jc w:val="center"/>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1C00C6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1.1</w:t>
            </w:r>
          </w:p>
        </w:tc>
        <w:tc>
          <w:tcPr>
            <w:tcW w:w="3404" w:type="dxa"/>
            <w:tcBorders>
              <w:top w:val="nil"/>
              <w:left w:val="nil"/>
              <w:bottom w:val="single" w:color="auto" w:sz="4" w:space="0"/>
              <w:right w:val="single" w:color="auto" w:sz="4" w:space="0"/>
            </w:tcBorders>
            <w:shd w:val="clear" w:color="auto" w:fill="auto"/>
            <w:noWrap/>
            <w:vAlign w:val="center"/>
          </w:tcPr>
          <w:p w14:paraId="7B1043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业务流程优化</w:t>
            </w:r>
          </w:p>
        </w:tc>
        <w:tc>
          <w:tcPr>
            <w:tcW w:w="1087" w:type="dxa"/>
            <w:tcBorders>
              <w:top w:val="nil"/>
              <w:left w:val="nil"/>
              <w:bottom w:val="single" w:color="auto" w:sz="4" w:space="0"/>
              <w:right w:val="single" w:color="auto" w:sz="4" w:space="0"/>
            </w:tcBorders>
            <w:shd w:val="clear" w:color="auto" w:fill="auto"/>
            <w:noWrap/>
            <w:vAlign w:val="center"/>
          </w:tcPr>
          <w:p w14:paraId="7669C0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noWrap/>
            <w:vAlign w:val="center"/>
          </w:tcPr>
          <w:p w14:paraId="5C1F1A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1</w:t>
            </w:r>
          </w:p>
        </w:tc>
        <w:tc>
          <w:tcPr>
            <w:tcW w:w="1087" w:type="dxa"/>
            <w:tcBorders>
              <w:top w:val="nil"/>
              <w:left w:val="nil"/>
              <w:bottom w:val="single" w:color="auto" w:sz="4" w:space="0"/>
              <w:right w:val="single" w:color="auto" w:sz="4" w:space="0"/>
            </w:tcBorders>
            <w:shd w:val="clear" w:color="auto" w:fill="auto"/>
            <w:noWrap/>
            <w:vAlign w:val="center"/>
          </w:tcPr>
          <w:p w14:paraId="62D811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项</w:t>
            </w:r>
          </w:p>
        </w:tc>
        <w:tc>
          <w:tcPr>
            <w:tcW w:w="1087" w:type="dxa"/>
            <w:tcBorders>
              <w:top w:val="nil"/>
              <w:left w:val="nil"/>
              <w:bottom w:val="single" w:color="auto" w:sz="4" w:space="0"/>
              <w:right w:val="single" w:color="auto" w:sz="4" w:space="0"/>
            </w:tcBorders>
            <w:shd w:val="clear" w:color="auto" w:fill="auto"/>
            <w:noWrap/>
            <w:vAlign w:val="center"/>
          </w:tcPr>
          <w:p w14:paraId="585894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r>
      <w:tr w14:paraId="7E0463A3">
        <w:tblPrEx>
          <w:tblCellMar>
            <w:top w:w="0" w:type="dxa"/>
            <w:left w:w="108" w:type="dxa"/>
            <w:bottom w:w="0" w:type="dxa"/>
            <w:right w:w="108" w:type="dxa"/>
          </w:tblCellMar>
        </w:tblPrEx>
        <w:trPr>
          <w:trHeight w:val="340" w:hRule="exact"/>
          <w:jc w:val="center"/>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05499C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1.2</w:t>
            </w:r>
          </w:p>
        </w:tc>
        <w:tc>
          <w:tcPr>
            <w:tcW w:w="3404" w:type="dxa"/>
            <w:tcBorders>
              <w:top w:val="nil"/>
              <w:left w:val="nil"/>
              <w:bottom w:val="single" w:color="auto" w:sz="4" w:space="0"/>
              <w:right w:val="single" w:color="auto" w:sz="4" w:space="0"/>
            </w:tcBorders>
            <w:shd w:val="clear" w:color="auto" w:fill="auto"/>
            <w:noWrap/>
            <w:vAlign w:val="center"/>
          </w:tcPr>
          <w:p w14:paraId="13E8D7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智能消息推送</w:t>
            </w:r>
          </w:p>
        </w:tc>
        <w:tc>
          <w:tcPr>
            <w:tcW w:w="1087" w:type="dxa"/>
            <w:tcBorders>
              <w:top w:val="nil"/>
              <w:left w:val="nil"/>
              <w:bottom w:val="single" w:color="auto" w:sz="4" w:space="0"/>
              <w:right w:val="single" w:color="auto" w:sz="4" w:space="0"/>
            </w:tcBorders>
            <w:shd w:val="clear" w:color="auto" w:fill="auto"/>
            <w:noWrap/>
            <w:vAlign w:val="center"/>
          </w:tcPr>
          <w:p w14:paraId="7B3B61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noWrap/>
            <w:vAlign w:val="center"/>
          </w:tcPr>
          <w:p w14:paraId="627E01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p>
        </w:tc>
        <w:tc>
          <w:tcPr>
            <w:tcW w:w="1087" w:type="dxa"/>
            <w:tcBorders>
              <w:top w:val="nil"/>
              <w:left w:val="nil"/>
              <w:bottom w:val="single" w:color="auto" w:sz="4" w:space="0"/>
              <w:right w:val="single" w:color="auto" w:sz="4" w:space="0"/>
            </w:tcBorders>
            <w:shd w:val="clear" w:color="auto" w:fill="auto"/>
            <w:noWrap/>
            <w:vAlign w:val="center"/>
          </w:tcPr>
          <w:p w14:paraId="33C1F7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项</w:t>
            </w:r>
          </w:p>
        </w:tc>
        <w:tc>
          <w:tcPr>
            <w:tcW w:w="1087" w:type="dxa"/>
            <w:tcBorders>
              <w:top w:val="nil"/>
              <w:left w:val="nil"/>
              <w:bottom w:val="single" w:color="auto" w:sz="4" w:space="0"/>
              <w:right w:val="single" w:color="auto" w:sz="4" w:space="0"/>
            </w:tcBorders>
            <w:shd w:val="clear" w:color="auto" w:fill="auto"/>
            <w:noWrap/>
            <w:vAlign w:val="center"/>
          </w:tcPr>
          <w:p w14:paraId="3469CB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r>
      <w:tr w14:paraId="594F7343">
        <w:tblPrEx>
          <w:tblCellMar>
            <w:top w:w="0" w:type="dxa"/>
            <w:left w:w="108" w:type="dxa"/>
            <w:bottom w:w="0" w:type="dxa"/>
            <w:right w:w="108" w:type="dxa"/>
          </w:tblCellMar>
        </w:tblPrEx>
        <w:trPr>
          <w:trHeight w:val="340" w:hRule="exact"/>
          <w:jc w:val="center"/>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2C5639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1.3</w:t>
            </w:r>
          </w:p>
        </w:tc>
        <w:tc>
          <w:tcPr>
            <w:tcW w:w="3404" w:type="dxa"/>
            <w:tcBorders>
              <w:top w:val="nil"/>
              <w:left w:val="nil"/>
              <w:bottom w:val="single" w:color="auto" w:sz="4" w:space="0"/>
              <w:right w:val="single" w:color="auto" w:sz="4" w:space="0"/>
            </w:tcBorders>
            <w:shd w:val="clear" w:color="auto" w:fill="auto"/>
            <w:noWrap/>
            <w:vAlign w:val="center"/>
          </w:tcPr>
          <w:p w14:paraId="7AC07E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物联网卡管理</w:t>
            </w:r>
          </w:p>
        </w:tc>
        <w:tc>
          <w:tcPr>
            <w:tcW w:w="1087" w:type="dxa"/>
            <w:tcBorders>
              <w:top w:val="nil"/>
              <w:left w:val="nil"/>
              <w:bottom w:val="single" w:color="auto" w:sz="4" w:space="0"/>
              <w:right w:val="single" w:color="auto" w:sz="4" w:space="0"/>
            </w:tcBorders>
            <w:shd w:val="clear" w:color="auto" w:fill="auto"/>
            <w:noWrap/>
            <w:vAlign w:val="center"/>
          </w:tcPr>
          <w:p w14:paraId="247C27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noWrap/>
            <w:vAlign w:val="center"/>
          </w:tcPr>
          <w:p w14:paraId="117447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p>
        </w:tc>
        <w:tc>
          <w:tcPr>
            <w:tcW w:w="1087" w:type="dxa"/>
            <w:tcBorders>
              <w:top w:val="nil"/>
              <w:left w:val="nil"/>
              <w:bottom w:val="single" w:color="auto" w:sz="4" w:space="0"/>
              <w:right w:val="single" w:color="auto" w:sz="4" w:space="0"/>
            </w:tcBorders>
            <w:shd w:val="clear" w:color="auto" w:fill="auto"/>
            <w:noWrap/>
            <w:vAlign w:val="center"/>
          </w:tcPr>
          <w:p w14:paraId="3DC89D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项</w:t>
            </w:r>
          </w:p>
        </w:tc>
        <w:tc>
          <w:tcPr>
            <w:tcW w:w="1087" w:type="dxa"/>
            <w:tcBorders>
              <w:top w:val="nil"/>
              <w:left w:val="nil"/>
              <w:bottom w:val="single" w:color="auto" w:sz="4" w:space="0"/>
              <w:right w:val="single" w:color="auto" w:sz="4" w:space="0"/>
            </w:tcBorders>
            <w:shd w:val="clear" w:color="auto" w:fill="auto"/>
            <w:noWrap/>
            <w:vAlign w:val="center"/>
          </w:tcPr>
          <w:p w14:paraId="15E5B1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r>
      <w:tr w14:paraId="78260D61">
        <w:tblPrEx>
          <w:tblCellMar>
            <w:top w:w="0" w:type="dxa"/>
            <w:left w:w="108" w:type="dxa"/>
            <w:bottom w:w="0" w:type="dxa"/>
            <w:right w:w="108" w:type="dxa"/>
          </w:tblCellMar>
        </w:tblPrEx>
        <w:trPr>
          <w:trHeight w:val="340" w:hRule="exact"/>
          <w:jc w:val="center"/>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37E1D2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1.4</w:t>
            </w:r>
          </w:p>
        </w:tc>
        <w:tc>
          <w:tcPr>
            <w:tcW w:w="3404" w:type="dxa"/>
            <w:tcBorders>
              <w:top w:val="nil"/>
              <w:left w:val="nil"/>
              <w:bottom w:val="single" w:color="auto" w:sz="4" w:space="0"/>
              <w:right w:val="single" w:color="auto" w:sz="4" w:space="0"/>
            </w:tcBorders>
            <w:shd w:val="clear" w:color="auto" w:fill="auto"/>
            <w:noWrap/>
            <w:vAlign w:val="center"/>
          </w:tcPr>
          <w:p w14:paraId="69AE38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设施运维导航</w:t>
            </w:r>
          </w:p>
        </w:tc>
        <w:tc>
          <w:tcPr>
            <w:tcW w:w="1087" w:type="dxa"/>
            <w:tcBorders>
              <w:top w:val="nil"/>
              <w:left w:val="nil"/>
              <w:bottom w:val="single" w:color="auto" w:sz="4" w:space="0"/>
              <w:right w:val="single" w:color="auto" w:sz="4" w:space="0"/>
            </w:tcBorders>
            <w:shd w:val="clear" w:color="auto" w:fill="auto"/>
            <w:noWrap/>
            <w:vAlign w:val="center"/>
          </w:tcPr>
          <w:p w14:paraId="0DBFEF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noWrap/>
            <w:vAlign w:val="center"/>
          </w:tcPr>
          <w:p w14:paraId="1097E1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p>
        </w:tc>
        <w:tc>
          <w:tcPr>
            <w:tcW w:w="1087" w:type="dxa"/>
            <w:tcBorders>
              <w:top w:val="nil"/>
              <w:left w:val="nil"/>
              <w:bottom w:val="single" w:color="auto" w:sz="4" w:space="0"/>
              <w:right w:val="single" w:color="auto" w:sz="4" w:space="0"/>
            </w:tcBorders>
            <w:shd w:val="clear" w:color="auto" w:fill="auto"/>
            <w:noWrap/>
            <w:vAlign w:val="center"/>
          </w:tcPr>
          <w:p w14:paraId="5F2B44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项</w:t>
            </w:r>
          </w:p>
        </w:tc>
        <w:tc>
          <w:tcPr>
            <w:tcW w:w="1087" w:type="dxa"/>
            <w:tcBorders>
              <w:top w:val="nil"/>
              <w:left w:val="nil"/>
              <w:bottom w:val="single" w:color="auto" w:sz="4" w:space="0"/>
              <w:right w:val="single" w:color="auto" w:sz="4" w:space="0"/>
            </w:tcBorders>
            <w:shd w:val="clear" w:color="auto" w:fill="auto"/>
            <w:noWrap/>
            <w:vAlign w:val="center"/>
          </w:tcPr>
          <w:p w14:paraId="4A5581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r>
      <w:tr w14:paraId="47CF8EE1">
        <w:tblPrEx>
          <w:tblCellMar>
            <w:top w:w="0" w:type="dxa"/>
            <w:left w:w="108" w:type="dxa"/>
            <w:bottom w:w="0" w:type="dxa"/>
            <w:right w:w="108" w:type="dxa"/>
          </w:tblCellMar>
        </w:tblPrEx>
        <w:trPr>
          <w:trHeight w:val="340" w:hRule="exact"/>
          <w:jc w:val="center"/>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75D791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1.5</w:t>
            </w:r>
          </w:p>
        </w:tc>
        <w:tc>
          <w:tcPr>
            <w:tcW w:w="3404" w:type="dxa"/>
            <w:tcBorders>
              <w:top w:val="nil"/>
              <w:left w:val="nil"/>
              <w:bottom w:val="single" w:color="auto" w:sz="4" w:space="0"/>
              <w:right w:val="single" w:color="auto" w:sz="4" w:space="0"/>
            </w:tcBorders>
            <w:shd w:val="clear" w:color="auto" w:fill="auto"/>
            <w:noWrap/>
            <w:vAlign w:val="center"/>
          </w:tcPr>
          <w:p w14:paraId="4F8458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用户登录认证</w:t>
            </w:r>
          </w:p>
        </w:tc>
        <w:tc>
          <w:tcPr>
            <w:tcW w:w="1087" w:type="dxa"/>
            <w:tcBorders>
              <w:top w:val="nil"/>
              <w:left w:val="nil"/>
              <w:bottom w:val="single" w:color="auto" w:sz="4" w:space="0"/>
              <w:right w:val="single" w:color="auto" w:sz="4" w:space="0"/>
            </w:tcBorders>
            <w:shd w:val="clear" w:color="auto" w:fill="auto"/>
            <w:noWrap/>
            <w:vAlign w:val="center"/>
          </w:tcPr>
          <w:p w14:paraId="00387E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noWrap/>
            <w:vAlign w:val="center"/>
          </w:tcPr>
          <w:p w14:paraId="6594A8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p>
        </w:tc>
        <w:tc>
          <w:tcPr>
            <w:tcW w:w="1087" w:type="dxa"/>
            <w:tcBorders>
              <w:top w:val="nil"/>
              <w:left w:val="nil"/>
              <w:bottom w:val="single" w:color="auto" w:sz="4" w:space="0"/>
              <w:right w:val="single" w:color="auto" w:sz="4" w:space="0"/>
            </w:tcBorders>
            <w:shd w:val="clear" w:color="auto" w:fill="auto"/>
            <w:noWrap/>
            <w:vAlign w:val="center"/>
          </w:tcPr>
          <w:p w14:paraId="4C8251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项</w:t>
            </w:r>
          </w:p>
        </w:tc>
        <w:tc>
          <w:tcPr>
            <w:tcW w:w="1087" w:type="dxa"/>
            <w:tcBorders>
              <w:top w:val="nil"/>
              <w:left w:val="nil"/>
              <w:bottom w:val="single" w:color="auto" w:sz="4" w:space="0"/>
              <w:right w:val="single" w:color="auto" w:sz="4" w:space="0"/>
            </w:tcBorders>
            <w:shd w:val="clear" w:color="auto" w:fill="auto"/>
            <w:noWrap/>
            <w:vAlign w:val="center"/>
          </w:tcPr>
          <w:p w14:paraId="43B155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r>
      <w:tr w14:paraId="738B989C">
        <w:tblPrEx>
          <w:tblCellMar>
            <w:top w:w="0" w:type="dxa"/>
            <w:left w:w="108" w:type="dxa"/>
            <w:bottom w:w="0" w:type="dxa"/>
            <w:right w:w="108" w:type="dxa"/>
          </w:tblCellMar>
        </w:tblPrEx>
        <w:trPr>
          <w:trHeight w:val="340" w:hRule="exact"/>
          <w:jc w:val="center"/>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35896F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1.6</w:t>
            </w:r>
          </w:p>
        </w:tc>
        <w:tc>
          <w:tcPr>
            <w:tcW w:w="3404" w:type="dxa"/>
            <w:tcBorders>
              <w:top w:val="nil"/>
              <w:left w:val="nil"/>
              <w:bottom w:val="single" w:color="auto" w:sz="4" w:space="0"/>
              <w:right w:val="single" w:color="auto" w:sz="4" w:space="0"/>
            </w:tcBorders>
            <w:shd w:val="clear" w:color="auto" w:fill="auto"/>
            <w:noWrap/>
            <w:vAlign w:val="center"/>
          </w:tcPr>
          <w:p w14:paraId="03E82B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环节时效管理</w:t>
            </w:r>
          </w:p>
        </w:tc>
        <w:tc>
          <w:tcPr>
            <w:tcW w:w="1087" w:type="dxa"/>
            <w:tcBorders>
              <w:top w:val="nil"/>
              <w:left w:val="nil"/>
              <w:bottom w:val="single" w:color="auto" w:sz="4" w:space="0"/>
              <w:right w:val="single" w:color="auto" w:sz="4" w:space="0"/>
            </w:tcBorders>
            <w:shd w:val="clear" w:color="auto" w:fill="auto"/>
            <w:noWrap/>
            <w:vAlign w:val="center"/>
          </w:tcPr>
          <w:p w14:paraId="3C22DE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noWrap/>
            <w:vAlign w:val="center"/>
          </w:tcPr>
          <w:p w14:paraId="06AAFD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1</w:t>
            </w:r>
          </w:p>
        </w:tc>
        <w:tc>
          <w:tcPr>
            <w:tcW w:w="1087" w:type="dxa"/>
            <w:tcBorders>
              <w:top w:val="nil"/>
              <w:left w:val="nil"/>
              <w:bottom w:val="single" w:color="auto" w:sz="4" w:space="0"/>
              <w:right w:val="single" w:color="auto" w:sz="4" w:space="0"/>
            </w:tcBorders>
            <w:shd w:val="clear" w:color="auto" w:fill="auto"/>
            <w:noWrap/>
            <w:vAlign w:val="center"/>
          </w:tcPr>
          <w:p w14:paraId="4784C6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项</w:t>
            </w:r>
          </w:p>
        </w:tc>
        <w:tc>
          <w:tcPr>
            <w:tcW w:w="1087" w:type="dxa"/>
            <w:tcBorders>
              <w:top w:val="nil"/>
              <w:left w:val="nil"/>
              <w:bottom w:val="single" w:color="auto" w:sz="4" w:space="0"/>
              <w:right w:val="single" w:color="auto" w:sz="4" w:space="0"/>
            </w:tcBorders>
            <w:shd w:val="clear" w:color="auto" w:fill="auto"/>
            <w:noWrap/>
            <w:vAlign w:val="center"/>
          </w:tcPr>
          <w:p w14:paraId="5AC821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r>
      <w:tr w14:paraId="5FB59D5D">
        <w:tblPrEx>
          <w:tblCellMar>
            <w:top w:w="0" w:type="dxa"/>
            <w:left w:w="108" w:type="dxa"/>
            <w:bottom w:w="0" w:type="dxa"/>
            <w:right w:w="108" w:type="dxa"/>
          </w:tblCellMar>
        </w:tblPrEx>
        <w:trPr>
          <w:trHeight w:val="340" w:hRule="exact"/>
          <w:jc w:val="center"/>
        </w:trPr>
        <w:tc>
          <w:tcPr>
            <w:tcW w:w="1087" w:type="dxa"/>
            <w:tcBorders>
              <w:top w:val="nil"/>
              <w:left w:val="single" w:color="auto" w:sz="4" w:space="0"/>
              <w:bottom w:val="single" w:color="auto" w:sz="4" w:space="0"/>
              <w:right w:val="single" w:color="auto" w:sz="4" w:space="0"/>
            </w:tcBorders>
            <w:shd w:val="clear" w:color="000000" w:fill="DAE3F3" w:themeFill="accent1" w:themeFillTint="32"/>
            <w:noWrap/>
            <w:vAlign w:val="center"/>
          </w:tcPr>
          <w:p w14:paraId="59826C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p>
        </w:tc>
        <w:tc>
          <w:tcPr>
            <w:tcW w:w="3404" w:type="dxa"/>
            <w:tcBorders>
              <w:top w:val="nil"/>
              <w:left w:val="nil"/>
              <w:bottom w:val="single" w:color="auto" w:sz="4" w:space="0"/>
              <w:right w:val="single" w:color="auto" w:sz="4" w:space="0"/>
            </w:tcBorders>
            <w:shd w:val="clear" w:color="000000" w:fill="DAE3F3" w:themeFill="accent1" w:themeFillTint="32"/>
            <w:noWrap/>
            <w:vAlign w:val="center"/>
          </w:tcPr>
          <w:p w14:paraId="3EB49D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大数据智能化应用</w:t>
            </w:r>
          </w:p>
        </w:tc>
        <w:tc>
          <w:tcPr>
            <w:tcW w:w="1087" w:type="dxa"/>
            <w:tcBorders>
              <w:top w:val="nil"/>
              <w:left w:val="nil"/>
              <w:bottom w:val="single" w:color="auto" w:sz="4" w:space="0"/>
              <w:right w:val="single" w:color="auto" w:sz="4" w:space="0"/>
            </w:tcBorders>
            <w:shd w:val="clear" w:color="000000" w:fill="DAE3F3" w:themeFill="accent1" w:themeFillTint="32"/>
            <w:noWrap/>
            <w:vAlign w:val="center"/>
          </w:tcPr>
          <w:p w14:paraId="228E1A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DAE3F3" w:themeFill="accent1" w:themeFillTint="32"/>
            <w:noWrap/>
            <w:vAlign w:val="center"/>
          </w:tcPr>
          <w:p w14:paraId="48F42C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DAE3F3" w:themeFill="accent1" w:themeFillTint="32"/>
            <w:noWrap/>
            <w:vAlign w:val="center"/>
          </w:tcPr>
          <w:p w14:paraId="77E6EB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DAE3F3" w:themeFill="accent1" w:themeFillTint="32"/>
            <w:noWrap/>
            <w:vAlign w:val="center"/>
          </w:tcPr>
          <w:p w14:paraId="18299F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r>
      <w:tr w14:paraId="5A9B38D2">
        <w:tblPrEx>
          <w:tblCellMar>
            <w:top w:w="0" w:type="dxa"/>
            <w:left w:w="108" w:type="dxa"/>
            <w:bottom w:w="0" w:type="dxa"/>
            <w:right w:w="108" w:type="dxa"/>
          </w:tblCellMar>
        </w:tblPrEx>
        <w:trPr>
          <w:trHeight w:val="340" w:hRule="exact"/>
          <w:jc w:val="center"/>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4122BC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2.1</w:t>
            </w:r>
          </w:p>
        </w:tc>
        <w:tc>
          <w:tcPr>
            <w:tcW w:w="3404" w:type="dxa"/>
            <w:tcBorders>
              <w:top w:val="nil"/>
              <w:left w:val="nil"/>
              <w:bottom w:val="single" w:color="auto" w:sz="4" w:space="0"/>
              <w:right w:val="single" w:color="auto" w:sz="4" w:space="0"/>
            </w:tcBorders>
            <w:shd w:val="clear" w:color="auto" w:fill="auto"/>
            <w:noWrap/>
            <w:vAlign w:val="center"/>
          </w:tcPr>
          <w:p w14:paraId="7A69DF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数据预处理</w:t>
            </w:r>
          </w:p>
        </w:tc>
        <w:tc>
          <w:tcPr>
            <w:tcW w:w="1087" w:type="dxa"/>
            <w:tcBorders>
              <w:top w:val="nil"/>
              <w:left w:val="nil"/>
              <w:bottom w:val="single" w:color="auto" w:sz="4" w:space="0"/>
              <w:right w:val="single" w:color="auto" w:sz="4" w:space="0"/>
            </w:tcBorders>
            <w:shd w:val="clear" w:color="auto" w:fill="auto"/>
            <w:noWrap/>
            <w:vAlign w:val="center"/>
          </w:tcPr>
          <w:p w14:paraId="2B5EB1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noWrap/>
            <w:vAlign w:val="center"/>
          </w:tcPr>
          <w:p w14:paraId="7E325B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1</w:t>
            </w:r>
          </w:p>
        </w:tc>
        <w:tc>
          <w:tcPr>
            <w:tcW w:w="1087" w:type="dxa"/>
            <w:tcBorders>
              <w:top w:val="nil"/>
              <w:left w:val="nil"/>
              <w:bottom w:val="single" w:color="auto" w:sz="4" w:space="0"/>
              <w:right w:val="single" w:color="auto" w:sz="4" w:space="0"/>
            </w:tcBorders>
            <w:shd w:val="clear" w:color="auto" w:fill="auto"/>
            <w:noWrap/>
            <w:vAlign w:val="center"/>
          </w:tcPr>
          <w:p w14:paraId="023F5F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项</w:t>
            </w:r>
          </w:p>
        </w:tc>
        <w:tc>
          <w:tcPr>
            <w:tcW w:w="1087" w:type="dxa"/>
            <w:tcBorders>
              <w:top w:val="nil"/>
              <w:left w:val="nil"/>
              <w:bottom w:val="single" w:color="auto" w:sz="4" w:space="0"/>
              <w:right w:val="single" w:color="auto" w:sz="4" w:space="0"/>
            </w:tcBorders>
            <w:shd w:val="clear" w:color="auto" w:fill="auto"/>
            <w:noWrap/>
            <w:vAlign w:val="center"/>
          </w:tcPr>
          <w:p w14:paraId="5F47D5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r>
      <w:tr w14:paraId="57F58A7C">
        <w:tblPrEx>
          <w:tblCellMar>
            <w:top w:w="0" w:type="dxa"/>
            <w:left w:w="108" w:type="dxa"/>
            <w:bottom w:w="0" w:type="dxa"/>
            <w:right w:w="108" w:type="dxa"/>
          </w:tblCellMar>
        </w:tblPrEx>
        <w:trPr>
          <w:trHeight w:val="340" w:hRule="exact"/>
          <w:jc w:val="center"/>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60591B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2.2</w:t>
            </w:r>
          </w:p>
        </w:tc>
        <w:tc>
          <w:tcPr>
            <w:tcW w:w="3404" w:type="dxa"/>
            <w:tcBorders>
              <w:top w:val="nil"/>
              <w:left w:val="nil"/>
              <w:bottom w:val="single" w:color="auto" w:sz="4" w:space="0"/>
              <w:right w:val="single" w:color="auto" w:sz="4" w:space="0"/>
            </w:tcBorders>
            <w:shd w:val="clear" w:color="auto" w:fill="auto"/>
            <w:noWrap/>
            <w:vAlign w:val="center"/>
          </w:tcPr>
          <w:p w14:paraId="10E465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数据衍生模型</w:t>
            </w:r>
          </w:p>
        </w:tc>
        <w:tc>
          <w:tcPr>
            <w:tcW w:w="1087" w:type="dxa"/>
            <w:tcBorders>
              <w:top w:val="nil"/>
              <w:left w:val="nil"/>
              <w:bottom w:val="single" w:color="auto" w:sz="4" w:space="0"/>
              <w:right w:val="single" w:color="auto" w:sz="4" w:space="0"/>
            </w:tcBorders>
            <w:shd w:val="clear" w:color="auto" w:fill="auto"/>
            <w:noWrap/>
            <w:vAlign w:val="center"/>
          </w:tcPr>
          <w:p w14:paraId="5331C0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noWrap/>
            <w:vAlign w:val="center"/>
          </w:tcPr>
          <w:p w14:paraId="3D587C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1</w:t>
            </w:r>
          </w:p>
        </w:tc>
        <w:tc>
          <w:tcPr>
            <w:tcW w:w="1087" w:type="dxa"/>
            <w:tcBorders>
              <w:top w:val="nil"/>
              <w:left w:val="nil"/>
              <w:bottom w:val="single" w:color="auto" w:sz="4" w:space="0"/>
              <w:right w:val="single" w:color="auto" w:sz="4" w:space="0"/>
            </w:tcBorders>
            <w:shd w:val="clear" w:color="auto" w:fill="auto"/>
            <w:noWrap/>
            <w:vAlign w:val="center"/>
          </w:tcPr>
          <w:p w14:paraId="477990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项</w:t>
            </w:r>
          </w:p>
        </w:tc>
        <w:tc>
          <w:tcPr>
            <w:tcW w:w="1087" w:type="dxa"/>
            <w:tcBorders>
              <w:top w:val="nil"/>
              <w:left w:val="nil"/>
              <w:bottom w:val="single" w:color="auto" w:sz="4" w:space="0"/>
              <w:right w:val="single" w:color="auto" w:sz="4" w:space="0"/>
            </w:tcBorders>
            <w:shd w:val="clear" w:color="auto" w:fill="auto"/>
            <w:noWrap/>
            <w:vAlign w:val="center"/>
          </w:tcPr>
          <w:p w14:paraId="1A6865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r>
      <w:tr w14:paraId="479E270D">
        <w:tblPrEx>
          <w:tblCellMar>
            <w:top w:w="0" w:type="dxa"/>
            <w:left w:w="108" w:type="dxa"/>
            <w:bottom w:w="0" w:type="dxa"/>
            <w:right w:w="108" w:type="dxa"/>
          </w:tblCellMar>
        </w:tblPrEx>
        <w:trPr>
          <w:trHeight w:val="340" w:hRule="exact"/>
          <w:jc w:val="center"/>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58FD89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2.3</w:t>
            </w:r>
          </w:p>
        </w:tc>
        <w:tc>
          <w:tcPr>
            <w:tcW w:w="3404" w:type="dxa"/>
            <w:tcBorders>
              <w:top w:val="nil"/>
              <w:left w:val="nil"/>
              <w:bottom w:val="single" w:color="auto" w:sz="4" w:space="0"/>
              <w:right w:val="single" w:color="auto" w:sz="4" w:space="0"/>
            </w:tcBorders>
            <w:shd w:val="clear" w:color="auto" w:fill="auto"/>
            <w:noWrap/>
            <w:vAlign w:val="center"/>
          </w:tcPr>
          <w:p w14:paraId="291CA2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智能预警模型</w:t>
            </w:r>
          </w:p>
        </w:tc>
        <w:tc>
          <w:tcPr>
            <w:tcW w:w="1087" w:type="dxa"/>
            <w:tcBorders>
              <w:top w:val="nil"/>
              <w:left w:val="nil"/>
              <w:bottom w:val="single" w:color="auto" w:sz="4" w:space="0"/>
              <w:right w:val="single" w:color="auto" w:sz="4" w:space="0"/>
            </w:tcBorders>
            <w:shd w:val="clear" w:color="auto" w:fill="auto"/>
            <w:noWrap/>
            <w:vAlign w:val="center"/>
          </w:tcPr>
          <w:p w14:paraId="046F8E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noWrap/>
            <w:vAlign w:val="center"/>
          </w:tcPr>
          <w:p w14:paraId="1836A4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1</w:t>
            </w:r>
          </w:p>
        </w:tc>
        <w:tc>
          <w:tcPr>
            <w:tcW w:w="1087" w:type="dxa"/>
            <w:tcBorders>
              <w:top w:val="nil"/>
              <w:left w:val="nil"/>
              <w:bottom w:val="single" w:color="auto" w:sz="4" w:space="0"/>
              <w:right w:val="single" w:color="auto" w:sz="4" w:space="0"/>
            </w:tcBorders>
            <w:shd w:val="clear" w:color="auto" w:fill="auto"/>
            <w:noWrap/>
            <w:vAlign w:val="center"/>
          </w:tcPr>
          <w:p w14:paraId="05C066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项</w:t>
            </w:r>
          </w:p>
        </w:tc>
        <w:tc>
          <w:tcPr>
            <w:tcW w:w="1087" w:type="dxa"/>
            <w:tcBorders>
              <w:top w:val="nil"/>
              <w:left w:val="nil"/>
              <w:bottom w:val="single" w:color="auto" w:sz="4" w:space="0"/>
              <w:right w:val="single" w:color="auto" w:sz="4" w:space="0"/>
            </w:tcBorders>
            <w:shd w:val="clear" w:color="auto" w:fill="auto"/>
            <w:noWrap/>
            <w:vAlign w:val="center"/>
          </w:tcPr>
          <w:p w14:paraId="6D1F5B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r>
      <w:tr w14:paraId="5FA93C11">
        <w:tblPrEx>
          <w:tblCellMar>
            <w:top w:w="0" w:type="dxa"/>
            <w:left w:w="108" w:type="dxa"/>
            <w:bottom w:w="0" w:type="dxa"/>
            <w:right w:w="108" w:type="dxa"/>
          </w:tblCellMar>
        </w:tblPrEx>
        <w:trPr>
          <w:trHeight w:val="340" w:hRule="exact"/>
          <w:jc w:val="center"/>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524D5A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2.4</w:t>
            </w:r>
          </w:p>
        </w:tc>
        <w:tc>
          <w:tcPr>
            <w:tcW w:w="3404" w:type="dxa"/>
            <w:tcBorders>
              <w:top w:val="nil"/>
              <w:left w:val="nil"/>
              <w:bottom w:val="single" w:color="auto" w:sz="4" w:space="0"/>
              <w:right w:val="single" w:color="auto" w:sz="4" w:space="0"/>
            </w:tcBorders>
            <w:shd w:val="clear" w:color="auto" w:fill="auto"/>
            <w:noWrap/>
            <w:vAlign w:val="center"/>
          </w:tcPr>
          <w:p w14:paraId="56E184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多维分析模型</w:t>
            </w:r>
          </w:p>
        </w:tc>
        <w:tc>
          <w:tcPr>
            <w:tcW w:w="1087" w:type="dxa"/>
            <w:tcBorders>
              <w:top w:val="nil"/>
              <w:left w:val="nil"/>
              <w:bottom w:val="single" w:color="auto" w:sz="4" w:space="0"/>
              <w:right w:val="single" w:color="auto" w:sz="4" w:space="0"/>
            </w:tcBorders>
            <w:shd w:val="clear" w:color="auto" w:fill="auto"/>
            <w:noWrap/>
            <w:vAlign w:val="center"/>
          </w:tcPr>
          <w:p w14:paraId="5FB43F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noWrap/>
            <w:vAlign w:val="center"/>
          </w:tcPr>
          <w:p w14:paraId="795FAC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1</w:t>
            </w:r>
          </w:p>
        </w:tc>
        <w:tc>
          <w:tcPr>
            <w:tcW w:w="1087" w:type="dxa"/>
            <w:tcBorders>
              <w:top w:val="nil"/>
              <w:left w:val="nil"/>
              <w:bottom w:val="single" w:color="auto" w:sz="4" w:space="0"/>
              <w:right w:val="single" w:color="auto" w:sz="4" w:space="0"/>
            </w:tcBorders>
            <w:shd w:val="clear" w:color="auto" w:fill="auto"/>
            <w:noWrap/>
            <w:vAlign w:val="center"/>
          </w:tcPr>
          <w:p w14:paraId="0B700B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项</w:t>
            </w:r>
          </w:p>
        </w:tc>
        <w:tc>
          <w:tcPr>
            <w:tcW w:w="1087" w:type="dxa"/>
            <w:tcBorders>
              <w:top w:val="nil"/>
              <w:left w:val="nil"/>
              <w:bottom w:val="single" w:color="auto" w:sz="4" w:space="0"/>
              <w:right w:val="single" w:color="auto" w:sz="4" w:space="0"/>
            </w:tcBorders>
            <w:shd w:val="clear" w:color="auto" w:fill="auto"/>
            <w:noWrap/>
            <w:vAlign w:val="center"/>
          </w:tcPr>
          <w:p w14:paraId="29911A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r>
      <w:tr w14:paraId="2F67BDBD">
        <w:tblPrEx>
          <w:tblCellMar>
            <w:top w:w="0" w:type="dxa"/>
            <w:left w:w="108" w:type="dxa"/>
            <w:bottom w:w="0" w:type="dxa"/>
            <w:right w:w="108" w:type="dxa"/>
          </w:tblCellMar>
        </w:tblPrEx>
        <w:trPr>
          <w:trHeight w:val="340" w:hRule="exact"/>
          <w:jc w:val="center"/>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312482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2.5</w:t>
            </w:r>
          </w:p>
        </w:tc>
        <w:tc>
          <w:tcPr>
            <w:tcW w:w="3404" w:type="dxa"/>
            <w:tcBorders>
              <w:top w:val="nil"/>
              <w:left w:val="nil"/>
              <w:bottom w:val="single" w:color="auto" w:sz="4" w:space="0"/>
              <w:right w:val="single" w:color="auto" w:sz="4" w:space="0"/>
            </w:tcBorders>
            <w:shd w:val="clear" w:color="auto" w:fill="auto"/>
            <w:noWrap/>
            <w:vAlign w:val="center"/>
          </w:tcPr>
          <w:p w14:paraId="7168BB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大数据动态看板</w:t>
            </w:r>
          </w:p>
        </w:tc>
        <w:tc>
          <w:tcPr>
            <w:tcW w:w="1087" w:type="dxa"/>
            <w:tcBorders>
              <w:top w:val="nil"/>
              <w:left w:val="nil"/>
              <w:bottom w:val="single" w:color="auto" w:sz="4" w:space="0"/>
              <w:right w:val="single" w:color="auto" w:sz="4" w:space="0"/>
            </w:tcBorders>
            <w:shd w:val="clear" w:color="auto" w:fill="auto"/>
            <w:noWrap/>
            <w:vAlign w:val="center"/>
          </w:tcPr>
          <w:p w14:paraId="65DEC96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noWrap/>
            <w:vAlign w:val="center"/>
          </w:tcPr>
          <w:p w14:paraId="58E71D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1</w:t>
            </w:r>
          </w:p>
        </w:tc>
        <w:tc>
          <w:tcPr>
            <w:tcW w:w="1087" w:type="dxa"/>
            <w:tcBorders>
              <w:top w:val="nil"/>
              <w:left w:val="nil"/>
              <w:bottom w:val="single" w:color="auto" w:sz="4" w:space="0"/>
              <w:right w:val="single" w:color="auto" w:sz="4" w:space="0"/>
            </w:tcBorders>
            <w:shd w:val="clear" w:color="auto" w:fill="auto"/>
            <w:noWrap/>
            <w:vAlign w:val="center"/>
          </w:tcPr>
          <w:p w14:paraId="6DC7FC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项</w:t>
            </w:r>
          </w:p>
        </w:tc>
        <w:tc>
          <w:tcPr>
            <w:tcW w:w="1087" w:type="dxa"/>
            <w:tcBorders>
              <w:top w:val="nil"/>
              <w:left w:val="nil"/>
              <w:bottom w:val="single" w:color="auto" w:sz="4" w:space="0"/>
              <w:right w:val="single" w:color="auto" w:sz="4" w:space="0"/>
            </w:tcBorders>
            <w:shd w:val="clear" w:color="auto" w:fill="auto"/>
            <w:noWrap/>
            <w:vAlign w:val="center"/>
          </w:tcPr>
          <w:p w14:paraId="7CC7B2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r>
      <w:tr w14:paraId="5078B84C">
        <w:tblPrEx>
          <w:tblCellMar>
            <w:top w:w="0" w:type="dxa"/>
            <w:left w:w="108" w:type="dxa"/>
            <w:bottom w:w="0" w:type="dxa"/>
            <w:right w:w="108" w:type="dxa"/>
          </w:tblCellMar>
        </w:tblPrEx>
        <w:trPr>
          <w:trHeight w:val="340" w:hRule="exact"/>
          <w:jc w:val="center"/>
        </w:trPr>
        <w:tc>
          <w:tcPr>
            <w:tcW w:w="1087" w:type="dxa"/>
            <w:tcBorders>
              <w:top w:val="nil"/>
              <w:left w:val="single" w:color="auto" w:sz="4" w:space="0"/>
              <w:bottom w:val="single" w:color="auto" w:sz="4" w:space="0"/>
              <w:right w:val="single" w:color="auto" w:sz="4" w:space="0"/>
            </w:tcBorders>
            <w:shd w:val="clear" w:color="000000" w:fill="DAE3F3" w:themeFill="accent1" w:themeFillTint="32"/>
            <w:noWrap/>
            <w:vAlign w:val="center"/>
          </w:tcPr>
          <w:p w14:paraId="11A374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w:t>
            </w:r>
          </w:p>
        </w:tc>
        <w:tc>
          <w:tcPr>
            <w:tcW w:w="3404" w:type="dxa"/>
            <w:tcBorders>
              <w:top w:val="nil"/>
              <w:left w:val="nil"/>
              <w:bottom w:val="single" w:color="auto" w:sz="4" w:space="0"/>
              <w:right w:val="single" w:color="auto" w:sz="4" w:space="0"/>
            </w:tcBorders>
            <w:shd w:val="clear" w:color="000000" w:fill="DAE3F3" w:themeFill="accent1" w:themeFillTint="32"/>
            <w:noWrap/>
            <w:vAlign w:val="center"/>
          </w:tcPr>
          <w:p w14:paraId="57B207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物联网设备整合</w:t>
            </w:r>
          </w:p>
        </w:tc>
        <w:tc>
          <w:tcPr>
            <w:tcW w:w="1087" w:type="dxa"/>
            <w:tcBorders>
              <w:top w:val="nil"/>
              <w:left w:val="nil"/>
              <w:bottom w:val="single" w:color="auto" w:sz="4" w:space="0"/>
              <w:right w:val="single" w:color="auto" w:sz="4" w:space="0"/>
            </w:tcBorders>
            <w:shd w:val="clear" w:color="000000" w:fill="DAE3F3" w:themeFill="accent1" w:themeFillTint="32"/>
            <w:noWrap/>
            <w:vAlign w:val="center"/>
          </w:tcPr>
          <w:p w14:paraId="6A7676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DAE3F3" w:themeFill="accent1" w:themeFillTint="32"/>
            <w:noWrap/>
            <w:vAlign w:val="center"/>
          </w:tcPr>
          <w:p w14:paraId="1D7BA0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DAE3F3" w:themeFill="accent1" w:themeFillTint="32"/>
            <w:noWrap/>
            <w:vAlign w:val="center"/>
          </w:tcPr>
          <w:p w14:paraId="4319C3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DAE3F3" w:themeFill="accent1" w:themeFillTint="32"/>
            <w:noWrap/>
            <w:vAlign w:val="center"/>
          </w:tcPr>
          <w:p w14:paraId="379ED4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r>
      <w:tr w14:paraId="76D3640E">
        <w:tblPrEx>
          <w:tblCellMar>
            <w:top w:w="0" w:type="dxa"/>
            <w:left w:w="108" w:type="dxa"/>
            <w:bottom w:w="0" w:type="dxa"/>
            <w:right w:w="108" w:type="dxa"/>
          </w:tblCellMar>
        </w:tblPrEx>
        <w:trPr>
          <w:trHeight w:val="340" w:hRule="exact"/>
          <w:jc w:val="center"/>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360D0A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3.1</w:t>
            </w:r>
          </w:p>
        </w:tc>
        <w:tc>
          <w:tcPr>
            <w:tcW w:w="3404" w:type="dxa"/>
            <w:tcBorders>
              <w:top w:val="nil"/>
              <w:left w:val="nil"/>
              <w:bottom w:val="single" w:color="auto" w:sz="4" w:space="0"/>
              <w:right w:val="single" w:color="auto" w:sz="4" w:space="0"/>
            </w:tcBorders>
            <w:shd w:val="clear" w:color="auto" w:fill="auto"/>
            <w:noWrap/>
            <w:vAlign w:val="center"/>
          </w:tcPr>
          <w:p w14:paraId="4CB379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视频监控整合</w:t>
            </w:r>
          </w:p>
        </w:tc>
        <w:tc>
          <w:tcPr>
            <w:tcW w:w="1087" w:type="dxa"/>
            <w:tcBorders>
              <w:top w:val="nil"/>
              <w:left w:val="nil"/>
              <w:bottom w:val="single" w:color="auto" w:sz="4" w:space="0"/>
              <w:right w:val="single" w:color="auto" w:sz="4" w:space="0"/>
            </w:tcBorders>
            <w:shd w:val="clear" w:color="auto" w:fill="auto"/>
            <w:noWrap/>
            <w:vAlign w:val="center"/>
          </w:tcPr>
          <w:p w14:paraId="227240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noWrap/>
            <w:vAlign w:val="center"/>
          </w:tcPr>
          <w:p w14:paraId="262AF4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1</w:t>
            </w:r>
          </w:p>
        </w:tc>
        <w:tc>
          <w:tcPr>
            <w:tcW w:w="1087" w:type="dxa"/>
            <w:tcBorders>
              <w:top w:val="nil"/>
              <w:left w:val="nil"/>
              <w:bottom w:val="single" w:color="auto" w:sz="4" w:space="0"/>
              <w:right w:val="single" w:color="auto" w:sz="4" w:space="0"/>
            </w:tcBorders>
            <w:shd w:val="clear" w:color="auto" w:fill="auto"/>
            <w:noWrap/>
            <w:vAlign w:val="center"/>
          </w:tcPr>
          <w:p w14:paraId="7C5E2E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项</w:t>
            </w:r>
          </w:p>
        </w:tc>
        <w:tc>
          <w:tcPr>
            <w:tcW w:w="1087" w:type="dxa"/>
            <w:tcBorders>
              <w:top w:val="nil"/>
              <w:left w:val="nil"/>
              <w:bottom w:val="single" w:color="auto" w:sz="4" w:space="0"/>
              <w:right w:val="single" w:color="auto" w:sz="4" w:space="0"/>
            </w:tcBorders>
            <w:shd w:val="clear" w:color="auto" w:fill="auto"/>
            <w:noWrap/>
            <w:vAlign w:val="center"/>
          </w:tcPr>
          <w:p w14:paraId="0CD60D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r>
      <w:tr w14:paraId="062E6D19">
        <w:tblPrEx>
          <w:tblCellMar>
            <w:top w:w="0" w:type="dxa"/>
            <w:left w:w="108" w:type="dxa"/>
            <w:bottom w:w="0" w:type="dxa"/>
            <w:right w:w="108" w:type="dxa"/>
          </w:tblCellMar>
        </w:tblPrEx>
        <w:trPr>
          <w:trHeight w:val="340" w:hRule="exact"/>
          <w:jc w:val="center"/>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0E9CB7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3.2</w:t>
            </w:r>
          </w:p>
        </w:tc>
        <w:tc>
          <w:tcPr>
            <w:tcW w:w="3404" w:type="dxa"/>
            <w:tcBorders>
              <w:top w:val="nil"/>
              <w:left w:val="nil"/>
              <w:bottom w:val="single" w:color="auto" w:sz="4" w:space="0"/>
              <w:right w:val="single" w:color="auto" w:sz="4" w:space="0"/>
            </w:tcBorders>
            <w:shd w:val="clear" w:color="auto" w:fill="auto"/>
            <w:noWrap/>
            <w:vAlign w:val="center"/>
          </w:tcPr>
          <w:p w14:paraId="72A89C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车辆监控整合</w:t>
            </w:r>
          </w:p>
        </w:tc>
        <w:tc>
          <w:tcPr>
            <w:tcW w:w="1087" w:type="dxa"/>
            <w:tcBorders>
              <w:top w:val="nil"/>
              <w:left w:val="nil"/>
              <w:bottom w:val="single" w:color="auto" w:sz="4" w:space="0"/>
              <w:right w:val="single" w:color="auto" w:sz="4" w:space="0"/>
            </w:tcBorders>
            <w:shd w:val="clear" w:color="auto" w:fill="auto"/>
            <w:noWrap/>
            <w:vAlign w:val="center"/>
          </w:tcPr>
          <w:p w14:paraId="033719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noWrap/>
            <w:vAlign w:val="center"/>
          </w:tcPr>
          <w:p w14:paraId="0953F26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1</w:t>
            </w:r>
          </w:p>
        </w:tc>
        <w:tc>
          <w:tcPr>
            <w:tcW w:w="1087" w:type="dxa"/>
            <w:tcBorders>
              <w:top w:val="nil"/>
              <w:left w:val="nil"/>
              <w:bottom w:val="single" w:color="auto" w:sz="4" w:space="0"/>
              <w:right w:val="single" w:color="auto" w:sz="4" w:space="0"/>
            </w:tcBorders>
            <w:shd w:val="clear" w:color="auto" w:fill="auto"/>
            <w:noWrap/>
            <w:vAlign w:val="center"/>
          </w:tcPr>
          <w:p w14:paraId="5370BE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项</w:t>
            </w:r>
          </w:p>
        </w:tc>
        <w:tc>
          <w:tcPr>
            <w:tcW w:w="1087" w:type="dxa"/>
            <w:tcBorders>
              <w:top w:val="nil"/>
              <w:left w:val="nil"/>
              <w:bottom w:val="single" w:color="auto" w:sz="4" w:space="0"/>
              <w:right w:val="single" w:color="auto" w:sz="4" w:space="0"/>
            </w:tcBorders>
            <w:shd w:val="clear" w:color="auto" w:fill="auto"/>
            <w:noWrap/>
            <w:vAlign w:val="center"/>
          </w:tcPr>
          <w:p w14:paraId="7784BD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r>
      <w:tr w14:paraId="43DA9B4E">
        <w:tblPrEx>
          <w:tblCellMar>
            <w:top w:w="0" w:type="dxa"/>
            <w:left w:w="108" w:type="dxa"/>
            <w:bottom w:w="0" w:type="dxa"/>
            <w:right w:w="108" w:type="dxa"/>
          </w:tblCellMar>
        </w:tblPrEx>
        <w:trPr>
          <w:trHeight w:val="340" w:hRule="exact"/>
          <w:jc w:val="center"/>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4312DDD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3.3</w:t>
            </w:r>
          </w:p>
        </w:tc>
        <w:tc>
          <w:tcPr>
            <w:tcW w:w="3404" w:type="dxa"/>
            <w:tcBorders>
              <w:top w:val="nil"/>
              <w:left w:val="nil"/>
              <w:bottom w:val="single" w:color="auto" w:sz="4" w:space="0"/>
              <w:right w:val="single" w:color="auto" w:sz="4" w:space="0"/>
            </w:tcBorders>
            <w:shd w:val="clear" w:color="auto" w:fill="auto"/>
            <w:noWrap/>
            <w:vAlign w:val="center"/>
          </w:tcPr>
          <w:p w14:paraId="20C6D6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泵站监控整合</w:t>
            </w:r>
          </w:p>
        </w:tc>
        <w:tc>
          <w:tcPr>
            <w:tcW w:w="1087" w:type="dxa"/>
            <w:tcBorders>
              <w:top w:val="nil"/>
              <w:left w:val="nil"/>
              <w:bottom w:val="single" w:color="auto" w:sz="4" w:space="0"/>
              <w:right w:val="single" w:color="auto" w:sz="4" w:space="0"/>
            </w:tcBorders>
            <w:shd w:val="clear" w:color="auto" w:fill="auto"/>
            <w:noWrap/>
            <w:vAlign w:val="center"/>
          </w:tcPr>
          <w:p w14:paraId="7B6BFD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noWrap/>
            <w:vAlign w:val="center"/>
          </w:tcPr>
          <w:p w14:paraId="58E68A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1</w:t>
            </w:r>
          </w:p>
        </w:tc>
        <w:tc>
          <w:tcPr>
            <w:tcW w:w="1087" w:type="dxa"/>
            <w:tcBorders>
              <w:top w:val="nil"/>
              <w:left w:val="nil"/>
              <w:bottom w:val="single" w:color="auto" w:sz="4" w:space="0"/>
              <w:right w:val="single" w:color="auto" w:sz="4" w:space="0"/>
            </w:tcBorders>
            <w:shd w:val="clear" w:color="auto" w:fill="auto"/>
            <w:noWrap/>
            <w:vAlign w:val="center"/>
          </w:tcPr>
          <w:p w14:paraId="58B9D1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项</w:t>
            </w:r>
          </w:p>
        </w:tc>
        <w:tc>
          <w:tcPr>
            <w:tcW w:w="1087" w:type="dxa"/>
            <w:tcBorders>
              <w:top w:val="nil"/>
              <w:left w:val="nil"/>
              <w:bottom w:val="single" w:color="auto" w:sz="4" w:space="0"/>
              <w:right w:val="single" w:color="auto" w:sz="4" w:space="0"/>
            </w:tcBorders>
            <w:shd w:val="clear" w:color="auto" w:fill="auto"/>
            <w:noWrap/>
            <w:vAlign w:val="center"/>
          </w:tcPr>
          <w:p w14:paraId="175AB6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r>
      <w:tr w14:paraId="2787A548">
        <w:tblPrEx>
          <w:tblCellMar>
            <w:top w:w="0" w:type="dxa"/>
            <w:left w:w="108" w:type="dxa"/>
            <w:bottom w:w="0" w:type="dxa"/>
            <w:right w:w="108" w:type="dxa"/>
          </w:tblCellMar>
        </w:tblPrEx>
        <w:trPr>
          <w:trHeight w:val="340" w:hRule="exact"/>
          <w:jc w:val="center"/>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79562F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3.4</w:t>
            </w:r>
          </w:p>
        </w:tc>
        <w:tc>
          <w:tcPr>
            <w:tcW w:w="3404" w:type="dxa"/>
            <w:tcBorders>
              <w:top w:val="nil"/>
              <w:left w:val="nil"/>
              <w:bottom w:val="single" w:color="auto" w:sz="4" w:space="0"/>
              <w:right w:val="single" w:color="auto" w:sz="4" w:space="0"/>
            </w:tcBorders>
            <w:shd w:val="clear" w:color="auto" w:fill="auto"/>
            <w:noWrap/>
            <w:vAlign w:val="center"/>
          </w:tcPr>
          <w:p w14:paraId="79BF2B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终端监控整合</w:t>
            </w:r>
          </w:p>
        </w:tc>
        <w:tc>
          <w:tcPr>
            <w:tcW w:w="1087" w:type="dxa"/>
            <w:tcBorders>
              <w:top w:val="nil"/>
              <w:left w:val="nil"/>
              <w:bottom w:val="single" w:color="auto" w:sz="4" w:space="0"/>
              <w:right w:val="single" w:color="auto" w:sz="4" w:space="0"/>
            </w:tcBorders>
            <w:shd w:val="clear" w:color="auto" w:fill="auto"/>
            <w:noWrap/>
            <w:vAlign w:val="center"/>
          </w:tcPr>
          <w:p w14:paraId="798E9B0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noWrap/>
            <w:vAlign w:val="center"/>
          </w:tcPr>
          <w:p w14:paraId="404DD5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1</w:t>
            </w:r>
          </w:p>
        </w:tc>
        <w:tc>
          <w:tcPr>
            <w:tcW w:w="1087" w:type="dxa"/>
            <w:tcBorders>
              <w:top w:val="nil"/>
              <w:left w:val="nil"/>
              <w:bottom w:val="single" w:color="auto" w:sz="4" w:space="0"/>
              <w:right w:val="single" w:color="auto" w:sz="4" w:space="0"/>
            </w:tcBorders>
            <w:shd w:val="clear" w:color="auto" w:fill="auto"/>
            <w:noWrap/>
            <w:vAlign w:val="center"/>
          </w:tcPr>
          <w:p w14:paraId="21FEFB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项</w:t>
            </w:r>
          </w:p>
        </w:tc>
        <w:tc>
          <w:tcPr>
            <w:tcW w:w="1087" w:type="dxa"/>
            <w:tcBorders>
              <w:top w:val="nil"/>
              <w:left w:val="nil"/>
              <w:bottom w:val="single" w:color="auto" w:sz="4" w:space="0"/>
              <w:right w:val="single" w:color="auto" w:sz="4" w:space="0"/>
            </w:tcBorders>
            <w:shd w:val="clear" w:color="auto" w:fill="auto"/>
            <w:noWrap/>
            <w:vAlign w:val="center"/>
          </w:tcPr>
          <w:p w14:paraId="06C442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r>
      <w:tr w14:paraId="68BCF81F">
        <w:tblPrEx>
          <w:tblCellMar>
            <w:top w:w="0" w:type="dxa"/>
            <w:left w:w="108" w:type="dxa"/>
            <w:bottom w:w="0" w:type="dxa"/>
            <w:right w:w="108" w:type="dxa"/>
          </w:tblCellMar>
        </w:tblPrEx>
        <w:trPr>
          <w:trHeight w:val="340" w:hRule="exact"/>
          <w:jc w:val="center"/>
        </w:trPr>
        <w:tc>
          <w:tcPr>
            <w:tcW w:w="1087" w:type="dxa"/>
            <w:tcBorders>
              <w:top w:val="nil"/>
              <w:left w:val="single" w:color="auto" w:sz="4" w:space="0"/>
              <w:bottom w:val="single" w:color="auto" w:sz="4" w:space="0"/>
              <w:right w:val="single" w:color="auto" w:sz="4" w:space="0"/>
            </w:tcBorders>
            <w:shd w:val="clear" w:color="000000" w:fill="DAE3F3" w:themeFill="accent1" w:themeFillTint="32"/>
            <w:noWrap/>
            <w:vAlign w:val="center"/>
          </w:tcPr>
          <w:p w14:paraId="767BB7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w:t>
            </w:r>
          </w:p>
        </w:tc>
        <w:tc>
          <w:tcPr>
            <w:tcW w:w="3404" w:type="dxa"/>
            <w:tcBorders>
              <w:top w:val="nil"/>
              <w:left w:val="nil"/>
              <w:bottom w:val="single" w:color="auto" w:sz="4" w:space="0"/>
              <w:right w:val="single" w:color="auto" w:sz="4" w:space="0"/>
            </w:tcBorders>
            <w:shd w:val="clear" w:color="000000" w:fill="DAE3F3" w:themeFill="accent1" w:themeFillTint="32"/>
            <w:noWrap/>
            <w:vAlign w:val="center"/>
          </w:tcPr>
          <w:p w14:paraId="24F35C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GIS引擎与空间应用</w:t>
            </w:r>
          </w:p>
        </w:tc>
        <w:tc>
          <w:tcPr>
            <w:tcW w:w="1087" w:type="dxa"/>
            <w:tcBorders>
              <w:top w:val="nil"/>
              <w:left w:val="nil"/>
              <w:bottom w:val="single" w:color="auto" w:sz="4" w:space="0"/>
              <w:right w:val="single" w:color="auto" w:sz="4" w:space="0"/>
            </w:tcBorders>
            <w:shd w:val="clear" w:color="000000" w:fill="DAE3F3" w:themeFill="accent1" w:themeFillTint="32"/>
            <w:noWrap/>
            <w:vAlign w:val="center"/>
          </w:tcPr>
          <w:p w14:paraId="658AF2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DAE3F3" w:themeFill="accent1" w:themeFillTint="32"/>
            <w:noWrap/>
            <w:vAlign w:val="center"/>
          </w:tcPr>
          <w:p w14:paraId="026A8B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DAE3F3" w:themeFill="accent1" w:themeFillTint="32"/>
            <w:noWrap/>
            <w:vAlign w:val="center"/>
          </w:tcPr>
          <w:p w14:paraId="6536F2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DAE3F3" w:themeFill="accent1" w:themeFillTint="32"/>
            <w:noWrap/>
            <w:vAlign w:val="center"/>
          </w:tcPr>
          <w:p w14:paraId="1FB2BD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r>
      <w:tr w14:paraId="7B04287B">
        <w:tblPrEx>
          <w:tblCellMar>
            <w:top w:w="0" w:type="dxa"/>
            <w:left w:w="108" w:type="dxa"/>
            <w:bottom w:w="0" w:type="dxa"/>
            <w:right w:w="108" w:type="dxa"/>
          </w:tblCellMar>
        </w:tblPrEx>
        <w:trPr>
          <w:trHeight w:val="340" w:hRule="exact"/>
          <w:jc w:val="center"/>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2E76F8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4.1</w:t>
            </w:r>
          </w:p>
        </w:tc>
        <w:tc>
          <w:tcPr>
            <w:tcW w:w="3404" w:type="dxa"/>
            <w:tcBorders>
              <w:top w:val="nil"/>
              <w:left w:val="nil"/>
              <w:bottom w:val="single" w:color="auto" w:sz="4" w:space="0"/>
              <w:right w:val="single" w:color="auto" w:sz="4" w:space="0"/>
            </w:tcBorders>
            <w:shd w:val="clear" w:color="auto" w:fill="auto"/>
            <w:noWrap/>
            <w:vAlign w:val="center"/>
          </w:tcPr>
          <w:p w14:paraId="6485F1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GIS引擎</w:t>
            </w:r>
          </w:p>
        </w:tc>
        <w:tc>
          <w:tcPr>
            <w:tcW w:w="1087" w:type="dxa"/>
            <w:tcBorders>
              <w:top w:val="nil"/>
              <w:left w:val="nil"/>
              <w:bottom w:val="single" w:color="auto" w:sz="4" w:space="0"/>
              <w:right w:val="single" w:color="auto" w:sz="4" w:space="0"/>
            </w:tcBorders>
            <w:shd w:val="clear" w:color="auto" w:fill="auto"/>
            <w:noWrap/>
            <w:vAlign w:val="center"/>
          </w:tcPr>
          <w:p w14:paraId="70A640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noWrap/>
            <w:vAlign w:val="center"/>
          </w:tcPr>
          <w:p w14:paraId="68DDCD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1</w:t>
            </w:r>
          </w:p>
        </w:tc>
        <w:tc>
          <w:tcPr>
            <w:tcW w:w="1087" w:type="dxa"/>
            <w:tcBorders>
              <w:top w:val="nil"/>
              <w:left w:val="nil"/>
              <w:bottom w:val="single" w:color="auto" w:sz="4" w:space="0"/>
              <w:right w:val="single" w:color="auto" w:sz="4" w:space="0"/>
            </w:tcBorders>
            <w:shd w:val="clear" w:color="auto" w:fill="auto"/>
            <w:noWrap/>
            <w:vAlign w:val="center"/>
          </w:tcPr>
          <w:p w14:paraId="0951C2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项</w:t>
            </w:r>
          </w:p>
        </w:tc>
        <w:tc>
          <w:tcPr>
            <w:tcW w:w="1087" w:type="dxa"/>
            <w:tcBorders>
              <w:top w:val="nil"/>
              <w:left w:val="nil"/>
              <w:bottom w:val="single" w:color="auto" w:sz="4" w:space="0"/>
              <w:right w:val="single" w:color="auto" w:sz="4" w:space="0"/>
            </w:tcBorders>
            <w:shd w:val="clear" w:color="auto" w:fill="auto"/>
            <w:noWrap/>
            <w:vAlign w:val="center"/>
          </w:tcPr>
          <w:p w14:paraId="545B49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r>
      <w:tr w14:paraId="5FB975BB">
        <w:tblPrEx>
          <w:tblCellMar>
            <w:top w:w="0" w:type="dxa"/>
            <w:left w:w="108" w:type="dxa"/>
            <w:bottom w:w="0" w:type="dxa"/>
            <w:right w:w="108" w:type="dxa"/>
          </w:tblCellMar>
        </w:tblPrEx>
        <w:trPr>
          <w:trHeight w:val="340" w:hRule="exact"/>
          <w:jc w:val="center"/>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2BD549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4.2</w:t>
            </w:r>
          </w:p>
        </w:tc>
        <w:tc>
          <w:tcPr>
            <w:tcW w:w="3404" w:type="dxa"/>
            <w:tcBorders>
              <w:top w:val="nil"/>
              <w:left w:val="nil"/>
              <w:bottom w:val="single" w:color="auto" w:sz="4" w:space="0"/>
              <w:right w:val="single" w:color="auto" w:sz="4" w:space="0"/>
            </w:tcBorders>
            <w:shd w:val="clear" w:color="auto" w:fill="auto"/>
            <w:noWrap/>
            <w:vAlign w:val="center"/>
          </w:tcPr>
          <w:p w14:paraId="23AD8F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GIS应用</w:t>
            </w:r>
          </w:p>
        </w:tc>
        <w:tc>
          <w:tcPr>
            <w:tcW w:w="1087" w:type="dxa"/>
            <w:tcBorders>
              <w:top w:val="nil"/>
              <w:left w:val="nil"/>
              <w:bottom w:val="single" w:color="auto" w:sz="4" w:space="0"/>
              <w:right w:val="single" w:color="auto" w:sz="4" w:space="0"/>
            </w:tcBorders>
            <w:shd w:val="clear" w:color="auto" w:fill="auto"/>
            <w:noWrap/>
            <w:vAlign w:val="center"/>
          </w:tcPr>
          <w:p w14:paraId="16B01C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noWrap/>
            <w:vAlign w:val="center"/>
          </w:tcPr>
          <w:p w14:paraId="10330F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1</w:t>
            </w:r>
          </w:p>
        </w:tc>
        <w:tc>
          <w:tcPr>
            <w:tcW w:w="1087" w:type="dxa"/>
            <w:tcBorders>
              <w:top w:val="nil"/>
              <w:left w:val="nil"/>
              <w:bottom w:val="single" w:color="auto" w:sz="4" w:space="0"/>
              <w:right w:val="single" w:color="auto" w:sz="4" w:space="0"/>
            </w:tcBorders>
            <w:shd w:val="clear" w:color="auto" w:fill="auto"/>
            <w:noWrap/>
            <w:vAlign w:val="center"/>
          </w:tcPr>
          <w:p w14:paraId="3AE3AF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项</w:t>
            </w:r>
          </w:p>
        </w:tc>
        <w:tc>
          <w:tcPr>
            <w:tcW w:w="1087" w:type="dxa"/>
            <w:tcBorders>
              <w:top w:val="nil"/>
              <w:left w:val="nil"/>
              <w:bottom w:val="single" w:color="auto" w:sz="4" w:space="0"/>
              <w:right w:val="single" w:color="auto" w:sz="4" w:space="0"/>
            </w:tcBorders>
            <w:shd w:val="clear" w:color="auto" w:fill="auto"/>
            <w:noWrap/>
            <w:vAlign w:val="center"/>
          </w:tcPr>
          <w:p w14:paraId="41FBDD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r>
      <w:tr w14:paraId="0C6274D9">
        <w:tblPrEx>
          <w:tblCellMar>
            <w:top w:w="0" w:type="dxa"/>
            <w:left w:w="108" w:type="dxa"/>
            <w:bottom w:w="0" w:type="dxa"/>
            <w:right w:w="108" w:type="dxa"/>
          </w:tblCellMar>
        </w:tblPrEx>
        <w:trPr>
          <w:trHeight w:val="340" w:hRule="exact"/>
          <w:jc w:val="center"/>
        </w:trPr>
        <w:tc>
          <w:tcPr>
            <w:tcW w:w="1087" w:type="dxa"/>
            <w:tcBorders>
              <w:top w:val="nil"/>
              <w:left w:val="single" w:color="auto" w:sz="4" w:space="0"/>
              <w:bottom w:val="single" w:color="auto" w:sz="4" w:space="0"/>
              <w:right w:val="single" w:color="auto" w:sz="4" w:space="0"/>
            </w:tcBorders>
            <w:shd w:val="clear" w:color="000000" w:fill="DAE3F3" w:themeFill="accent1" w:themeFillTint="32"/>
            <w:noWrap/>
            <w:vAlign w:val="center"/>
          </w:tcPr>
          <w:p w14:paraId="55E86B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w:t>
            </w:r>
          </w:p>
        </w:tc>
        <w:tc>
          <w:tcPr>
            <w:tcW w:w="3404" w:type="dxa"/>
            <w:tcBorders>
              <w:top w:val="nil"/>
              <w:left w:val="nil"/>
              <w:bottom w:val="single" w:color="auto" w:sz="4" w:space="0"/>
              <w:right w:val="single" w:color="auto" w:sz="4" w:space="0"/>
            </w:tcBorders>
            <w:shd w:val="clear" w:color="000000" w:fill="DAE3F3" w:themeFill="accent1" w:themeFillTint="32"/>
            <w:noWrap/>
            <w:vAlign w:val="center"/>
          </w:tcPr>
          <w:p w14:paraId="7D8974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数字孪生应用建设</w:t>
            </w:r>
          </w:p>
        </w:tc>
        <w:tc>
          <w:tcPr>
            <w:tcW w:w="1087" w:type="dxa"/>
            <w:tcBorders>
              <w:top w:val="nil"/>
              <w:left w:val="nil"/>
              <w:bottom w:val="single" w:color="auto" w:sz="4" w:space="0"/>
              <w:right w:val="single" w:color="auto" w:sz="4" w:space="0"/>
            </w:tcBorders>
            <w:shd w:val="clear" w:color="000000" w:fill="DAE3F3" w:themeFill="accent1" w:themeFillTint="32"/>
            <w:noWrap/>
            <w:vAlign w:val="center"/>
          </w:tcPr>
          <w:p w14:paraId="2C440B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DAE3F3" w:themeFill="accent1" w:themeFillTint="32"/>
            <w:noWrap/>
            <w:vAlign w:val="center"/>
          </w:tcPr>
          <w:p w14:paraId="45EDF2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DAE3F3" w:themeFill="accent1" w:themeFillTint="32"/>
            <w:noWrap/>
            <w:vAlign w:val="center"/>
          </w:tcPr>
          <w:p w14:paraId="3917E3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DAE3F3" w:themeFill="accent1" w:themeFillTint="32"/>
            <w:noWrap/>
            <w:vAlign w:val="center"/>
          </w:tcPr>
          <w:p w14:paraId="715A89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r>
      <w:tr w14:paraId="15542892">
        <w:tblPrEx>
          <w:tblCellMar>
            <w:top w:w="0" w:type="dxa"/>
            <w:left w:w="108" w:type="dxa"/>
            <w:bottom w:w="0" w:type="dxa"/>
            <w:right w:w="108" w:type="dxa"/>
          </w:tblCellMar>
        </w:tblPrEx>
        <w:trPr>
          <w:trHeight w:val="340" w:hRule="exact"/>
          <w:jc w:val="center"/>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55CE38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5.1</w:t>
            </w:r>
          </w:p>
        </w:tc>
        <w:tc>
          <w:tcPr>
            <w:tcW w:w="3404" w:type="dxa"/>
            <w:tcBorders>
              <w:top w:val="nil"/>
              <w:left w:val="nil"/>
              <w:bottom w:val="single" w:color="auto" w:sz="4" w:space="0"/>
              <w:right w:val="single" w:color="auto" w:sz="4" w:space="0"/>
            </w:tcBorders>
            <w:shd w:val="clear" w:color="auto" w:fill="auto"/>
            <w:noWrap/>
            <w:vAlign w:val="center"/>
          </w:tcPr>
          <w:p w14:paraId="6CCA19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三维场景构建</w:t>
            </w:r>
          </w:p>
        </w:tc>
        <w:tc>
          <w:tcPr>
            <w:tcW w:w="1087" w:type="dxa"/>
            <w:tcBorders>
              <w:top w:val="nil"/>
              <w:left w:val="nil"/>
              <w:bottom w:val="single" w:color="auto" w:sz="4" w:space="0"/>
              <w:right w:val="single" w:color="auto" w:sz="4" w:space="0"/>
            </w:tcBorders>
            <w:shd w:val="clear" w:color="auto" w:fill="auto"/>
            <w:noWrap/>
            <w:vAlign w:val="center"/>
          </w:tcPr>
          <w:p w14:paraId="254E33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noWrap/>
            <w:vAlign w:val="center"/>
          </w:tcPr>
          <w:p w14:paraId="01EFFC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1</w:t>
            </w:r>
          </w:p>
        </w:tc>
        <w:tc>
          <w:tcPr>
            <w:tcW w:w="1087" w:type="dxa"/>
            <w:tcBorders>
              <w:top w:val="nil"/>
              <w:left w:val="nil"/>
              <w:bottom w:val="single" w:color="auto" w:sz="4" w:space="0"/>
              <w:right w:val="single" w:color="auto" w:sz="4" w:space="0"/>
            </w:tcBorders>
            <w:shd w:val="clear" w:color="auto" w:fill="auto"/>
            <w:noWrap/>
            <w:vAlign w:val="center"/>
          </w:tcPr>
          <w:p w14:paraId="381CDA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项</w:t>
            </w:r>
          </w:p>
        </w:tc>
        <w:tc>
          <w:tcPr>
            <w:tcW w:w="1087" w:type="dxa"/>
            <w:tcBorders>
              <w:top w:val="nil"/>
              <w:left w:val="nil"/>
              <w:bottom w:val="single" w:color="auto" w:sz="4" w:space="0"/>
              <w:right w:val="single" w:color="auto" w:sz="4" w:space="0"/>
            </w:tcBorders>
            <w:shd w:val="clear" w:color="auto" w:fill="auto"/>
            <w:noWrap/>
            <w:vAlign w:val="center"/>
          </w:tcPr>
          <w:p w14:paraId="4AB036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r>
      <w:tr w14:paraId="77829EE3">
        <w:tblPrEx>
          <w:tblCellMar>
            <w:top w:w="0" w:type="dxa"/>
            <w:left w:w="108" w:type="dxa"/>
            <w:bottom w:w="0" w:type="dxa"/>
            <w:right w:w="108" w:type="dxa"/>
          </w:tblCellMar>
        </w:tblPrEx>
        <w:trPr>
          <w:trHeight w:val="340" w:hRule="exact"/>
          <w:jc w:val="center"/>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578AC3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5.2</w:t>
            </w:r>
          </w:p>
        </w:tc>
        <w:tc>
          <w:tcPr>
            <w:tcW w:w="3404" w:type="dxa"/>
            <w:tcBorders>
              <w:top w:val="nil"/>
              <w:left w:val="nil"/>
              <w:bottom w:val="single" w:color="auto" w:sz="4" w:space="0"/>
              <w:right w:val="single" w:color="auto" w:sz="4" w:space="0"/>
            </w:tcBorders>
            <w:shd w:val="clear" w:color="auto" w:fill="auto"/>
            <w:noWrap/>
            <w:vAlign w:val="center"/>
          </w:tcPr>
          <w:p w14:paraId="4DA8D9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工艺级真应用</w:t>
            </w:r>
          </w:p>
        </w:tc>
        <w:tc>
          <w:tcPr>
            <w:tcW w:w="1087" w:type="dxa"/>
            <w:tcBorders>
              <w:top w:val="nil"/>
              <w:left w:val="nil"/>
              <w:bottom w:val="single" w:color="auto" w:sz="4" w:space="0"/>
              <w:right w:val="single" w:color="auto" w:sz="4" w:space="0"/>
            </w:tcBorders>
            <w:shd w:val="clear" w:color="auto" w:fill="auto"/>
            <w:noWrap/>
            <w:vAlign w:val="center"/>
          </w:tcPr>
          <w:p w14:paraId="6DEC1B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noWrap/>
            <w:vAlign w:val="center"/>
          </w:tcPr>
          <w:p w14:paraId="1ED861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1</w:t>
            </w:r>
          </w:p>
        </w:tc>
        <w:tc>
          <w:tcPr>
            <w:tcW w:w="1087" w:type="dxa"/>
            <w:tcBorders>
              <w:top w:val="nil"/>
              <w:left w:val="nil"/>
              <w:bottom w:val="single" w:color="auto" w:sz="4" w:space="0"/>
              <w:right w:val="single" w:color="auto" w:sz="4" w:space="0"/>
            </w:tcBorders>
            <w:shd w:val="clear" w:color="auto" w:fill="auto"/>
            <w:noWrap/>
            <w:vAlign w:val="center"/>
          </w:tcPr>
          <w:p w14:paraId="4FFD98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项</w:t>
            </w:r>
          </w:p>
        </w:tc>
        <w:tc>
          <w:tcPr>
            <w:tcW w:w="1087" w:type="dxa"/>
            <w:tcBorders>
              <w:top w:val="nil"/>
              <w:left w:val="nil"/>
              <w:bottom w:val="single" w:color="auto" w:sz="4" w:space="0"/>
              <w:right w:val="single" w:color="auto" w:sz="4" w:space="0"/>
            </w:tcBorders>
            <w:shd w:val="clear" w:color="auto" w:fill="auto"/>
            <w:noWrap/>
            <w:vAlign w:val="center"/>
          </w:tcPr>
          <w:p w14:paraId="778D02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r>
      <w:tr w14:paraId="5CF7D528">
        <w:tblPrEx>
          <w:tblCellMar>
            <w:top w:w="0" w:type="dxa"/>
            <w:left w:w="108" w:type="dxa"/>
            <w:bottom w:w="0" w:type="dxa"/>
            <w:right w:w="108" w:type="dxa"/>
          </w:tblCellMar>
        </w:tblPrEx>
        <w:trPr>
          <w:trHeight w:val="340" w:hRule="exact"/>
          <w:jc w:val="center"/>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73ADBC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5.3</w:t>
            </w:r>
          </w:p>
        </w:tc>
        <w:tc>
          <w:tcPr>
            <w:tcW w:w="3404" w:type="dxa"/>
            <w:tcBorders>
              <w:top w:val="nil"/>
              <w:left w:val="nil"/>
              <w:bottom w:val="single" w:color="auto" w:sz="4" w:space="0"/>
              <w:right w:val="single" w:color="auto" w:sz="4" w:space="0"/>
            </w:tcBorders>
            <w:shd w:val="clear" w:color="auto" w:fill="auto"/>
            <w:noWrap/>
            <w:vAlign w:val="center"/>
          </w:tcPr>
          <w:p w14:paraId="733A53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沉浸式渲染与交互</w:t>
            </w:r>
          </w:p>
        </w:tc>
        <w:tc>
          <w:tcPr>
            <w:tcW w:w="1087" w:type="dxa"/>
            <w:tcBorders>
              <w:top w:val="nil"/>
              <w:left w:val="nil"/>
              <w:bottom w:val="single" w:color="auto" w:sz="4" w:space="0"/>
              <w:right w:val="single" w:color="auto" w:sz="4" w:space="0"/>
            </w:tcBorders>
            <w:shd w:val="clear" w:color="auto" w:fill="auto"/>
            <w:noWrap/>
            <w:vAlign w:val="center"/>
          </w:tcPr>
          <w:p w14:paraId="351879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noWrap/>
            <w:vAlign w:val="center"/>
          </w:tcPr>
          <w:p w14:paraId="4D2B22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1</w:t>
            </w:r>
          </w:p>
        </w:tc>
        <w:tc>
          <w:tcPr>
            <w:tcW w:w="1087" w:type="dxa"/>
            <w:tcBorders>
              <w:top w:val="nil"/>
              <w:left w:val="nil"/>
              <w:bottom w:val="single" w:color="auto" w:sz="4" w:space="0"/>
              <w:right w:val="single" w:color="auto" w:sz="4" w:space="0"/>
            </w:tcBorders>
            <w:shd w:val="clear" w:color="auto" w:fill="auto"/>
            <w:noWrap/>
            <w:vAlign w:val="center"/>
          </w:tcPr>
          <w:p w14:paraId="3ABF25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项</w:t>
            </w:r>
          </w:p>
        </w:tc>
        <w:tc>
          <w:tcPr>
            <w:tcW w:w="1087" w:type="dxa"/>
            <w:tcBorders>
              <w:top w:val="nil"/>
              <w:left w:val="nil"/>
              <w:bottom w:val="single" w:color="auto" w:sz="4" w:space="0"/>
              <w:right w:val="single" w:color="auto" w:sz="4" w:space="0"/>
            </w:tcBorders>
            <w:shd w:val="clear" w:color="auto" w:fill="auto"/>
            <w:noWrap/>
            <w:vAlign w:val="center"/>
          </w:tcPr>
          <w:p w14:paraId="764C4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r>
      <w:tr w14:paraId="227C5976">
        <w:tblPrEx>
          <w:tblCellMar>
            <w:top w:w="0" w:type="dxa"/>
            <w:left w:w="108" w:type="dxa"/>
            <w:bottom w:w="0" w:type="dxa"/>
            <w:right w:w="108" w:type="dxa"/>
          </w:tblCellMar>
        </w:tblPrEx>
        <w:trPr>
          <w:trHeight w:val="340" w:hRule="exact"/>
          <w:jc w:val="center"/>
        </w:trPr>
        <w:tc>
          <w:tcPr>
            <w:tcW w:w="1087" w:type="dxa"/>
            <w:tcBorders>
              <w:top w:val="nil"/>
              <w:left w:val="single" w:color="auto" w:sz="4" w:space="0"/>
              <w:bottom w:val="single" w:color="auto" w:sz="4" w:space="0"/>
              <w:right w:val="single" w:color="auto" w:sz="4" w:space="0"/>
            </w:tcBorders>
            <w:shd w:val="clear" w:color="000000" w:fill="DAE3F3" w:themeFill="accent1" w:themeFillTint="32"/>
            <w:noWrap/>
            <w:vAlign w:val="center"/>
          </w:tcPr>
          <w:p w14:paraId="58E440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6</w:t>
            </w:r>
          </w:p>
        </w:tc>
        <w:tc>
          <w:tcPr>
            <w:tcW w:w="3404" w:type="dxa"/>
            <w:tcBorders>
              <w:top w:val="nil"/>
              <w:left w:val="nil"/>
              <w:bottom w:val="single" w:color="auto" w:sz="4" w:space="0"/>
              <w:right w:val="single" w:color="auto" w:sz="4" w:space="0"/>
            </w:tcBorders>
            <w:shd w:val="clear" w:color="000000" w:fill="DAE3F3" w:themeFill="accent1" w:themeFillTint="32"/>
            <w:noWrap/>
            <w:vAlign w:val="center"/>
          </w:tcPr>
          <w:p w14:paraId="348F00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系统运行环境建设</w:t>
            </w:r>
          </w:p>
        </w:tc>
        <w:tc>
          <w:tcPr>
            <w:tcW w:w="1087" w:type="dxa"/>
            <w:tcBorders>
              <w:top w:val="nil"/>
              <w:left w:val="nil"/>
              <w:bottom w:val="single" w:color="auto" w:sz="4" w:space="0"/>
              <w:right w:val="single" w:color="auto" w:sz="4" w:space="0"/>
            </w:tcBorders>
            <w:shd w:val="clear" w:color="000000" w:fill="DAE3F3" w:themeFill="accent1" w:themeFillTint="32"/>
            <w:noWrap/>
            <w:vAlign w:val="center"/>
          </w:tcPr>
          <w:p w14:paraId="76BAF6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DAE3F3" w:themeFill="accent1" w:themeFillTint="32"/>
            <w:noWrap/>
            <w:vAlign w:val="center"/>
          </w:tcPr>
          <w:p w14:paraId="586784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DAE3F3" w:themeFill="accent1" w:themeFillTint="32"/>
            <w:noWrap/>
            <w:vAlign w:val="center"/>
          </w:tcPr>
          <w:p w14:paraId="3749D5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DAE3F3" w:themeFill="accent1" w:themeFillTint="32"/>
            <w:noWrap/>
            <w:vAlign w:val="center"/>
          </w:tcPr>
          <w:p w14:paraId="6400CE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r>
      <w:tr w14:paraId="4173FF41">
        <w:tblPrEx>
          <w:tblCellMar>
            <w:top w:w="0" w:type="dxa"/>
            <w:left w:w="108" w:type="dxa"/>
            <w:bottom w:w="0" w:type="dxa"/>
            <w:right w:w="108" w:type="dxa"/>
          </w:tblCellMar>
        </w:tblPrEx>
        <w:trPr>
          <w:trHeight w:val="340" w:hRule="exact"/>
          <w:jc w:val="center"/>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4FF66D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6.1</w:t>
            </w:r>
          </w:p>
        </w:tc>
        <w:tc>
          <w:tcPr>
            <w:tcW w:w="3404" w:type="dxa"/>
            <w:tcBorders>
              <w:top w:val="nil"/>
              <w:left w:val="nil"/>
              <w:bottom w:val="single" w:color="auto" w:sz="4" w:space="0"/>
              <w:right w:val="single" w:color="auto" w:sz="4" w:space="0"/>
            </w:tcBorders>
            <w:shd w:val="clear" w:color="auto" w:fill="auto"/>
            <w:noWrap/>
            <w:vAlign w:val="center"/>
          </w:tcPr>
          <w:p w14:paraId="79A2E2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应用服务器</w:t>
            </w:r>
          </w:p>
        </w:tc>
        <w:tc>
          <w:tcPr>
            <w:tcW w:w="1087" w:type="dxa"/>
            <w:tcBorders>
              <w:top w:val="nil"/>
              <w:left w:val="nil"/>
              <w:bottom w:val="single" w:color="auto" w:sz="4" w:space="0"/>
              <w:right w:val="single" w:color="auto" w:sz="4" w:space="0"/>
            </w:tcBorders>
            <w:shd w:val="clear" w:color="auto" w:fill="auto"/>
            <w:noWrap/>
            <w:vAlign w:val="center"/>
          </w:tcPr>
          <w:p w14:paraId="40EE67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noWrap/>
            <w:vAlign w:val="center"/>
          </w:tcPr>
          <w:p w14:paraId="279DAEA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p>
        </w:tc>
        <w:tc>
          <w:tcPr>
            <w:tcW w:w="1087" w:type="dxa"/>
            <w:tcBorders>
              <w:top w:val="nil"/>
              <w:left w:val="nil"/>
              <w:bottom w:val="single" w:color="auto" w:sz="4" w:space="0"/>
              <w:right w:val="single" w:color="auto" w:sz="4" w:space="0"/>
            </w:tcBorders>
            <w:shd w:val="clear" w:color="auto" w:fill="auto"/>
            <w:noWrap/>
            <w:vAlign w:val="center"/>
          </w:tcPr>
          <w:p w14:paraId="40DE1F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台</w:t>
            </w:r>
          </w:p>
        </w:tc>
        <w:tc>
          <w:tcPr>
            <w:tcW w:w="1087" w:type="dxa"/>
            <w:tcBorders>
              <w:top w:val="nil"/>
              <w:left w:val="nil"/>
              <w:bottom w:val="single" w:color="auto" w:sz="4" w:space="0"/>
              <w:right w:val="single" w:color="auto" w:sz="4" w:space="0"/>
            </w:tcBorders>
            <w:shd w:val="clear" w:color="auto" w:fill="auto"/>
            <w:noWrap/>
            <w:vAlign w:val="center"/>
          </w:tcPr>
          <w:p w14:paraId="7525F8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r>
      <w:tr w14:paraId="6F27F3ED">
        <w:tblPrEx>
          <w:tblCellMar>
            <w:top w:w="0" w:type="dxa"/>
            <w:left w:w="108" w:type="dxa"/>
            <w:bottom w:w="0" w:type="dxa"/>
            <w:right w:w="108" w:type="dxa"/>
          </w:tblCellMar>
        </w:tblPrEx>
        <w:trPr>
          <w:trHeight w:val="340" w:hRule="exact"/>
          <w:jc w:val="center"/>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50528F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6.2</w:t>
            </w:r>
          </w:p>
        </w:tc>
        <w:tc>
          <w:tcPr>
            <w:tcW w:w="3404" w:type="dxa"/>
            <w:tcBorders>
              <w:top w:val="nil"/>
              <w:left w:val="nil"/>
              <w:bottom w:val="single" w:color="auto" w:sz="4" w:space="0"/>
              <w:right w:val="single" w:color="auto" w:sz="4" w:space="0"/>
            </w:tcBorders>
            <w:shd w:val="clear" w:color="auto" w:fill="auto"/>
            <w:noWrap/>
            <w:vAlign w:val="center"/>
          </w:tcPr>
          <w:p w14:paraId="54C80F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数据库服务器</w:t>
            </w:r>
          </w:p>
        </w:tc>
        <w:tc>
          <w:tcPr>
            <w:tcW w:w="1087" w:type="dxa"/>
            <w:tcBorders>
              <w:top w:val="nil"/>
              <w:left w:val="nil"/>
              <w:bottom w:val="single" w:color="auto" w:sz="4" w:space="0"/>
              <w:right w:val="single" w:color="auto" w:sz="4" w:space="0"/>
            </w:tcBorders>
            <w:shd w:val="clear" w:color="auto" w:fill="auto"/>
            <w:noWrap/>
            <w:vAlign w:val="center"/>
          </w:tcPr>
          <w:p w14:paraId="1A4673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noWrap/>
            <w:vAlign w:val="center"/>
          </w:tcPr>
          <w:p w14:paraId="090BCE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p>
        </w:tc>
        <w:tc>
          <w:tcPr>
            <w:tcW w:w="1087" w:type="dxa"/>
            <w:tcBorders>
              <w:top w:val="nil"/>
              <w:left w:val="nil"/>
              <w:bottom w:val="single" w:color="auto" w:sz="4" w:space="0"/>
              <w:right w:val="single" w:color="auto" w:sz="4" w:space="0"/>
            </w:tcBorders>
            <w:shd w:val="clear" w:color="auto" w:fill="auto"/>
            <w:noWrap/>
            <w:vAlign w:val="center"/>
          </w:tcPr>
          <w:p w14:paraId="7535AD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台</w:t>
            </w:r>
          </w:p>
        </w:tc>
        <w:tc>
          <w:tcPr>
            <w:tcW w:w="1087" w:type="dxa"/>
            <w:tcBorders>
              <w:top w:val="nil"/>
              <w:left w:val="nil"/>
              <w:bottom w:val="single" w:color="auto" w:sz="4" w:space="0"/>
              <w:right w:val="single" w:color="auto" w:sz="4" w:space="0"/>
            </w:tcBorders>
            <w:shd w:val="clear" w:color="auto" w:fill="auto"/>
            <w:noWrap/>
            <w:vAlign w:val="center"/>
          </w:tcPr>
          <w:p w14:paraId="526A35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r>
      <w:tr w14:paraId="15232590">
        <w:tblPrEx>
          <w:tblCellMar>
            <w:top w:w="0" w:type="dxa"/>
            <w:left w:w="108" w:type="dxa"/>
            <w:bottom w:w="0" w:type="dxa"/>
            <w:right w:w="108" w:type="dxa"/>
          </w:tblCellMar>
        </w:tblPrEx>
        <w:trPr>
          <w:trHeight w:val="324" w:hRule="exact"/>
          <w:jc w:val="center"/>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1F855F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6.3</w:t>
            </w:r>
          </w:p>
        </w:tc>
        <w:tc>
          <w:tcPr>
            <w:tcW w:w="3404" w:type="dxa"/>
            <w:tcBorders>
              <w:top w:val="nil"/>
              <w:left w:val="nil"/>
              <w:bottom w:val="single" w:color="auto" w:sz="4" w:space="0"/>
              <w:right w:val="single" w:color="auto" w:sz="4" w:space="0"/>
            </w:tcBorders>
            <w:shd w:val="clear" w:color="auto" w:fill="auto"/>
            <w:noWrap/>
            <w:vAlign w:val="center"/>
          </w:tcPr>
          <w:p w14:paraId="6558C2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短信资费包</w:t>
            </w:r>
          </w:p>
        </w:tc>
        <w:tc>
          <w:tcPr>
            <w:tcW w:w="1087" w:type="dxa"/>
            <w:tcBorders>
              <w:top w:val="nil"/>
              <w:left w:val="nil"/>
              <w:bottom w:val="single" w:color="auto" w:sz="4" w:space="0"/>
              <w:right w:val="single" w:color="auto" w:sz="4" w:space="0"/>
            </w:tcBorders>
            <w:shd w:val="clear" w:color="auto" w:fill="auto"/>
            <w:noWrap/>
            <w:vAlign w:val="center"/>
          </w:tcPr>
          <w:p w14:paraId="7EBD4E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noWrap/>
            <w:vAlign w:val="center"/>
          </w:tcPr>
          <w:p w14:paraId="75CA23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p>
        </w:tc>
        <w:tc>
          <w:tcPr>
            <w:tcW w:w="1087" w:type="dxa"/>
            <w:tcBorders>
              <w:top w:val="nil"/>
              <w:left w:val="nil"/>
              <w:bottom w:val="single" w:color="auto" w:sz="4" w:space="0"/>
              <w:right w:val="single" w:color="auto" w:sz="4" w:space="0"/>
            </w:tcBorders>
            <w:shd w:val="clear" w:color="auto" w:fill="auto"/>
            <w:noWrap/>
            <w:vAlign w:val="center"/>
          </w:tcPr>
          <w:p w14:paraId="46BAC6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项</w:t>
            </w:r>
          </w:p>
        </w:tc>
        <w:tc>
          <w:tcPr>
            <w:tcW w:w="1087" w:type="dxa"/>
            <w:tcBorders>
              <w:top w:val="nil"/>
              <w:left w:val="nil"/>
              <w:bottom w:val="single" w:color="auto" w:sz="4" w:space="0"/>
              <w:right w:val="single" w:color="auto" w:sz="4" w:space="0"/>
            </w:tcBorders>
            <w:shd w:val="clear" w:color="auto" w:fill="auto"/>
            <w:noWrap/>
            <w:vAlign w:val="center"/>
          </w:tcPr>
          <w:p w14:paraId="59813A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r>
      <w:tr w14:paraId="344B7FB5">
        <w:tblPrEx>
          <w:tblCellMar>
            <w:top w:w="0" w:type="dxa"/>
            <w:left w:w="108" w:type="dxa"/>
            <w:bottom w:w="0" w:type="dxa"/>
            <w:right w:w="108" w:type="dxa"/>
          </w:tblCellMar>
        </w:tblPrEx>
        <w:trPr>
          <w:trHeight w:val="340" w:hRule="exact"/>
          <w:jc w:val="center"/>
        </w:trPr>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DA5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6.</w:t>
            </w:r>
            <w:r>
              <w:rPr>
                <w:rFonts w:hint="eastAsia" w:ascii="宋体" w:hAnsi="宋体" w:eastAsia="宋体" w:cs="Times New Roman"/>
                <w:color w:val="000000" w:themeColor="text1"/>
                <w:szCs w:val="21"/>
                <w:lang w:val="en-US" w:eastAsia="zh-CN"/>
                <w14:textFill>
                  <w14:solidFill>
                    <w14:schemeClr w14:val="tx1"/>
                  </w14:solidFill>
                </w14:textFill>
              </w:rPr>
              <w:t>4</w:t>
            </w:r>
          </w:p>
        </w:tc>
        <w:tc>
          <w:tcPr>
            <w:tcW w:w="34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3E8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运维服务</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1417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8C08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2</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84C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年</w:t>
            </w:r>
          </w:p>
        </w:tc>
        <w:tc>
          <w:tcPr>
            <w:tcW w:w="1087" w:type="dxa"/>
            <w:tcBorders>
              <w:top w:val="nil"/>
              <w:left w:val="nil"/>
              <w:bottom w:val="single" w:color="auto" w:sz="4" w:space="0"/>
              <w:right w:val="single" w:color="auto" w:sz="4" w:space="0"/>
            </w:tcBorders>
            <w:shd w:val="clear" w:color="auto" w:fill="auto"/>
            <w:noWrap/>
            <w:vAlign w:val="center"/>
          </w:tcPr>
          <w:p w14:paraId="1348BF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r>
      <w:tr w14:paraId="694A2669">
        <w:tblPrEx>
          <w:tblCellMar>
            <w:top w:w="0" w:type="dxa"/>
            <w:left w:w="108" w:type="dxa"/>
            <w:bottom w:w="0" w:type="dxa"/>
            <w:right w:w="108" w:type="dxa"/>
          </w:tblCellMar>
        </w:tblPrEx>
        <w:trPr>
          <w:trHeight w:val="340" w:hRule="exact"/>
          <w:jc w:val="center"/>
        </w:trPr>
        <w:tc>
          <w:tcPr>
            <w:tcW w:w="449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E76CD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合计（万元）</w:t>
            </w:r>
          </w:p>
        </w:tc>
        <w:tc>
          <w:tcPr>
            <w:tcW w:w="326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25319E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不含税金额</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8702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r>
      <w:tr w14:paraId="36E533E2">
        <w:tblPrEx>
          <w:tblCellMar>
            <w:top w:w="0" w:type="dxa"/>
            <w:left w:w="108" w:type="dxa"/>
            <w:bottom w:w="0" w:type="dxa"/>
            <w:right w:w="108" w:type="dxa"/>
          </w:tblCellMar>
        </w:tblPrEx>
        <w:trPr>
          <w:trHeight w:val="340" w:hRule="exact"/>
          <w:jc w:val="center"/>
        </w:trPr>
        <w:tc>
          <w:tcPr>
            <w:tcW w:w="449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2AA96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税率</w:t>
            </w:r>
          </w:p>
        </w:tc>
        <w:tc>
          <w:tcPr>
            <w:tcW w:w="326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DA15E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Times New Roman"/>
                <w:color w:val="000000" w:themeColor="text1"/>
                <w:szCs w:val="21"/>
                <w:lang w:val="en-US" w:eastAsia="zh-CN"/>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810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r>
      <w:tr w14:paraId="16C6586A">
        <w:tblPrEx>
          <w:tblCellMar>
            <w:top w:w="0" w:type="dxa"/>
            <w:left w:w="108" w:type="dxa"/>
            <w:bottom w:w="0" w:type="dxa"/>
            <w:right w:w="108" w:type="dxa"/>
          </w:tblCellMar>
        </w:tblPrEx>
        <w:trPr>
          <w:trHeight w:val="340" w:hRule="exact"/>
          <w:jc w:val="center"/>
        </w:trPr>
        <w:tc>
          <w:tcPr>
            <w:tcW w:w="449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26684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总价</w:t>
            </w:r>
            <w:r>
              <w:rPr>
                <w:rFonts w:hint="eastAsia" w:ascii="宋体" w:hAnsi="宋体" w:eastAsia="宋体" w:cs="Times New Roman"/>
                <w:color w:val="000000" w:themeColor="text1"/>
                <w:szCs w:val="21"/>
                <w14:textFill>
                  <w14:solidFill>
                    <w14:schemeClr w14:val="tx1"/>
                  </w14:solidFill>
                </w14:textFill>
              </w:rPr>
              <w:t>（万元）</w:t>
            </w:r>
          </w:p>
        </w:tc>
        <w:tc>
          <w:tcPr>
            <w:tcW w:w="326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AEF18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Times New Roman"/>
                <w:color w:val="000000" w:themeColor="text1"/>
                <w:szCs w:val="21"/>
                <w:lang w:val="en-US" w:eastAsia="zh-CN"/>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9133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color w:val="000000" w:themeColor="text1"/>
                <w:szCs w:val="21"/>
                <w14:textFill>
                  <w14:solidFill>
                    <w14:schemeClr w14:val="tx1"/>
                  </w14:solidFill>
                </w14:textFill>
              </w:rPr>
            </w:pPr>
          </w:p>
        </w:tc>
      </w:tr>
    </w:tbl>
    <w:p w14:paraId="2409D710">
      <w:pPr>
        <w:spacing w:line="4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w:t>
      </w:r>
      <w:r>
        <w:rPr>
          <w:rFonts w:hint="eastAsia" w:ascii="宋体" w:hAnsi="宋体"/>
          <w:b/>
          <w:bCs/>
          <w:color w:val="000000" w:themeColor="text1"/>
          <w:szCs w:val="21"/>
          <w:lang w:val="en-US" w:eastAsia="zh-CN"/>
          <w14:textFill>
            <w14:solidFill>
              <w14:schemeClr w14:val="tx1"/>
            </w14:solidFill>
          </w14:textFill>
        </w:rPr>
        <w:t>此表投标人可自行添加，包括不限于以上内容。</w:t>
      </w:r>
      <w:r>
        <w:rPr>
          <w:rFonts w:hint="eastAsia" w:ascii="宋体" w:hAnsi="宋体"/>
          <w:color w:val="000000" w:themeColor="text1"/>
          <w:szCs w:val="21"/>
          <w14:textFill>
            <w14:solidFill>
              <w14:schemeClr w14:val="tx1"/>
            </w14:solidFill>
          </w14:textFill>
        </w:rPr>
        <w:t>投标分项报价明细表汇总金额须与投标报价汇总表中各单位工程报价金额一致。</w:t>
      </w:r>
    </w:p>
    <w:p w14:paraId="69E5E6C5">
      <w:pPr>
        <w:spacing w:line="4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投标单位（盖章）</w:t>
      </w:r>
    </w:p>
    <w:p w14:paraId="5C0B9766">
      <w:pPr>
        <w:spacing w:line="4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法定代表人或其授权委托人（签字或盖章）：</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年   月   日</w:t>
      </w:r>
    </w:p>
    <w:p w14:paraId="43BBFF18">
      <w:pPr>
        <w:tabs>
          <w:tab w:val="left" w:pos="7560"/>
        </w:tabs>
        <w:spacing w:line="500" w:lineRule="exact"/>
        <w:rPr>
          <w:rFonts w:ascii="宋体" w:hAnsi="宋体"/>
          <w:color w:val="000000" w:themeColor="text1"/>
          <w:sz w:val="24"/>
          <w14:textFill>
            <w14:solidFill>
              <w14:schemeClr w14:val="tx1"/>
            </w14:solidFill>
          </w14:textFill>
        </w:rPr>
      </w:pPr>
    </w:p>
    <w:p w14:paraId="3BB81C51">
      <w:pPr>
        <w:widowControl/>
        <w:jc w:val="left"/>
        <w:rPr>
          <w:color w:val="000000" w:themeColor="text1"/>
          <w:sz w:val="24"/>
          <w:lang w:bidi="th-TH"/>
          <w14:textFill>
            <w14:solidFill>
              <w14:schemeClr w14:val="tx1"/>
            </w14:solidFill>
          </w14:textFill>
        </w:rPr>
      </w:pPr>
      <w:r>
        <w:rPr>
          <w:color w:val="000000" w:themeColor="text1"/>
          <w:sz w:val="24"/>
          <w:lang w:bidi="th-TH"/>
          <w14:textFill>
            <w14:solidFill>
              <w14:schemeClr w14:val="tx1"/>
            </w14:solidFill>
          </w14:textFill>
        </w:rPr>
        <w:t>格式</w:t>
      </w:r>
      <w:r>
        <w:rPr>
          <w:rFonts w:hint="eastAsia"/>
          <w:color w:val="000000" w:themeColor="text1"/>
          <w:sz w:val="24"/>
          <w:lang w:bidi="th-TH"/>
          <w14:textFill>
            <w14:solidFill>
              <w14:schemeClr w14:val="tx1"/>
            </w14:solidFill>
          </w14:textFill>
        </w:rPr>
        <w:t>五：</w:t>
      </w:r>
    </w:p>
    <w:p w14:paraId="21232F90">
      <w:pPr>
        <w:spacing w:before="101" w:line="225" w:lineRule="auto"/>
        <w:ind w:firstLine="2925"/>
        <w:rPr>
          <w:color w:val="000000" w:themeColor="text1"/>
          <w:sz w:val="24"/>
          <w:lang w:bidi="th-TH"/>
          <w14:textFill>
            <w14:solidFill>
              <w14:schemeClr w14:val="tx1"/>
            </w14:solidFill>
          </w14:textFill>
        </w:rPr>
      </w:pPr>
    </w:p>
    <w:p w14:paraId="5DE45C83">
      <w:pPr>
        <w:spacing w:before="101" w:line="225" w:lineRule="auto"/>
        <w:jc w:val="center"/>
        <w:rPr>
          <w:rFonts w:ascii="宋体" w:hAnsi="宋体" w:cs="宋体"/>
          <w:color w:val="000000" w:themeColor="text1"/>
          <w:spacing w:val="9"/>
          <w:sz w:val="31"/>
          <w:szCs w:val="31"/>
          <w14:textFill>
            <w14:solidFill>
              <w14:schemeClr w14:val="tx1"/>
            </w14:solidFill>
          </w14:textFill>
        </w:rPr>
      </w:pPr>
      <w:r>
        <w:rPr>
          <w:rFonts w:ascii="宋体" w:hAnsi="宋体" w:cs="宋体"/>
          <w:color w:val="000000" w:themeColor="text1"/>
          <w:spacing w:val="10"/>
          <w:sz w:val="31"/>
          <w:szCs w:val="31"/>
          <w14:textFill>
            <w14:solidFill>
              <w14:schemeClr w14:val="tx1"/>
            </w14:solidFill>
          </w14:textFill>
        </w:rPr>
        <w:t>项目组</w:t>
      </w:r>
      <w:r>
        <w:rPr>
          <w:rFonts w:hint="eastAsia" w:ascii="宋体" w:hAnsi="宋体" w:cs="宋体"/>
          <w:color w:val="000000" w:themeColor="text1"/>
          <w:spacing w:val="9"/>
          <w:sz w:val="31"/>
          <w:szCs w:val="31"/>
          <w14:textFill>
            <w14:solidFill>
              <w14:schemeClr w14:val="tx1"/>
            </w14:solidFill>
          </w14:textFill>
        </w:rPr>
        <w:t>人员配备</w:t>
      </w:r>
    </w:p>
    <w:p w14:paraId="1CBDE615">
      <w:pPr>
        <w:pStyle w:val="19"/>
        <w:rPr>
          <w:color w:val="000000" w:themeColor="text1"/>
          <w14:textFill>
            <w14:solidFill>
              <w14:schemeClr w14:val="tx1"/>
            </w14:solidFill>
          </w14:textFill>
        </w:rPr>
      </w:pPr>
    </w:p>
    <w:p w14:paraId="3C307AF6">
      <w:pPr>
        <w:ind w:firstLine="422" w:firstLineChars="200"/>
        <w:jc w:val="center"/>
        <w:rPr>
          <w:rFonts w:ascii="宋体" w:hAnsi="宋体" w:cs="宋体"/>
          <w:b/>
          <w:bCs/>
          <w:color w:val="000000" w:themeColor="text1"/>
          <w:szCs w:val="21"/>
          <w14:textFill>
            <w14:solidFill>
              <w14:schemeClr w14:val="tx1"/>
            </w14:solidFill>
          </w14:textFill>
        </w:rPr>
      </w:pPr>
    </w:p>
    <w:tbl>
      <w:tblPr>
        <w:tblStyle w:val="4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036"/>
        <w:gridCol w:w="995"/>
        <w:gridCol w:w="968"/>
        <w:gridCol w:w="1746"/>
        <w:gridCol w:w="1255"/>
        <w:gridCol w:w="2041"/>
        <w:gridCol w:w="816"/>
      </w:tblGrid>
      <w:tr w14:paraId="0561F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9" w:type="dxa"/>
            <w:vAlign w:val="center"/>
          </w:tcPr>
          <w:p w14:paraId="2AEA0636">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序号</w:t>
            </w:r>
          </w:p>
        </w:tc>
        <w:tc>
          <w:tcPr>
            <w:tcW w:w="1036" w:type="dxa"/>
            <w:vAlign w:val="center"/>
          </w:tcPr>
          <w:p w14:paraId="6EFD0D19">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姓名</w:t>
            </w:r>
          </w:p>
        </w:tc>
        <w:tc>
          <w:tcPr>
            <w:tcW w:w="995" w:type="dxa"/>
            <w:vAlign w:val="center"/>
          </w:tcPr>
          <w:p w14:paraId="7CEC5CDB">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性别</w:t>
            </w:r>
          </w:p>
        </w:tc>
        <w:tc>
          <w:tcPr>
            <w:tcW w:w="968" w:type="dxa"/>
            <w:vAlign w:val="center"/>
          </w:tcPr>
          <w:p w14:paraId="12B3499A">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年龄</w:t>
            </w:r>
          </w:p>
        </w:tc>
        <w:tc>
          <w:tcPr>
            <w:tcW w:w="1746" w:type="dxa"/>
            <w:vAlign w:val="center"/>
          </w:tcPr>
          <w:p w14:paraId="031B5F28">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证书号</w:t>
            </w:r>
          </w:p>
        </w:tc>
        <w:tc>
          <w:tcPr>
            <w:tcW w:w="1255" w:type="dxa"/>
            <w:vAlign w:val="center"/>
          </w:tcPr>
          <w:p w14:paraId="4C1E3C93">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执业年限</w:t>
            </w:r>
          </w:p>
        </w:tc>
        <w:tc>
          <w:tcPr>
            <w:tcW w:w="2041" w:type="dxa"/>
            <w:vAlign w:val="center"/>
          </w:tcPr>
          <w:p w14:paraId="3F06B257">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主要资历、经验或承担过的项目</w:t>
            </w:r>
          </w:p>
        </w:tc>
        <w:tc>
          <w:tcPr>
            <w:tcW w:w="816" w:type="dxa"/>
            <w:vAlign w:val="center"/>
          </w:tcPr>
          <w:p w14:paraId="7EF48367">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备注</w:t>
            </w:r>
          </w:p>
        </w:tc>
      </w:tr>
      <w:tr w14:paraId="0606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19" w:type="dxa"/>
            <w:vAlign w:val="center"/>
          </w:tcPr>
          <w:p w14:paraId="19775809">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w:t>
            </w:r>
          </w:p>
        </w:tc>
        <w:tc>
          <w:tcPr>
            <w:tcW w:w="1036" w:type="dxa"/>
          </w:tcPr>
          <w:p w14:paraId="127913A9">
            <w:pPr>
              <w:autoSpaceDE w:val="0"/>
              <w:autoSpaceDN w:val="0"/>
              <w:adjustRightInd w:val="0"/>
              <w:rPr>
                <w:rFonts w:ascii="宋体" w:hAnsi="宋体" w:cs="宋体"/>
                <w:b/>
                <w:bCs/>
                <w:color w:val="000000" w:themeColor="text1"/>
                <w:szCs w:val="21"/>
                <w:lang w:val="zh-CN"/>
                <w14:textFill>
                  <w14:solidFill>
                    <w14:schemeClr w14:val="tx1"/>
                  </w14:solidFill>
                </w14:textFill>
              </w:rPr>
            </w:pPr>
          </w:p>
        </w:tc>
        <w:tc>
          <w:tcPr>
            <w:tcW w:w="995" w:type="dxa"/>
          </w:tcPr>
          <w:p w14:paraId="49F3EB53">
            <w:pPr>
              <w:autoSpaceDE w:val="0"/>
              <w:autoSpaceDN w:val="0"/>
              <w:adjustRightInd w:val="0"/>
              <w:rPr>
                <w:rFonts w:ascii="宋体" w:hAnsi="宋体" w:cs="宋体"/>
                <w:b/>
                <w:bCs/>
                <w:color w:val="000000" w:themeColor="text1"/>
                <w:szCs w:val="21"/>
                <w:lang w:val="zh-CN"/>
                <w14:textFill>
                  <w14:solidFill>
                    <w14:schemeClr w14:val="tx1"/>
                  </w14:solidFill>
                </w14:textFill>
              </w:rPr>
            </w:pPr>
          </w:p>
        </w:tc>
        <w:tc>
          <w:tcPr>
            <w:tcW w:w="968" w:type="dxa"/>
          </w:tcPr>
          <w:p w14:paraId="2D979A15">
            <w:pPr>
              <w:autoSpaceDE w:val="0"/>
              <w:autoSpaceDN w:val="0"/>
              <w:adjustRightInd w:val="0"/>
              <w:rPr>
                <w:rFonts w:ascii="宋体" w:hAnsi="宋体" w:cs="宋体"/>
                <w:b/>
                <w:bCs/>
                <w:color w:val="000000" w:themeColor="text1"/>
                <w:szCs w:val="21"/>
                <w:lang w:val="zh-CN"/>
                <w14:textFill>
                  <w14:solidFill>
                    <w14:schemeClr w14:val="tx1"/>
                  </w14:solidFill>
                </w14:textFill>
              </w:rPr>
            </w:pPr>
          </w:p>
        </w:tc>
        <w:tc>
          <w:tcPr>
            <w:tcW w:w="1746" w:type="dxa"/>
          </w:tcPr>
          <w:p w14:paraId="2BFEE3AF">
            <w:pPr>
              <w:autoSpaceDE w:val="0"/>
              <w:autoSpaceDN w:val="0"/>
              <w:adjustRightInd w:val="0"/>
              <w:rPr>
                <w:rFonts w:ascii="宋体" w:hAnsi="宋体" w:cs="宋体"/>
                <w:b/>
                <w:bCs/>
                <w:color w:val="000000" w:themeColor="text1"/>
                <w:szCs w:val="21"/>
                <w:lang w:val="zh-CN"/>
                <w14:textFill>
                  <w14:solidFill>
                    <w14:schemeClr w14:val="tx1"/>
                  </w14:solidFill>
                </w14:textFill>
              </w:rPr>
            </w:pPr>
          </w:p>
        </w:tc>
        <w:tc>
          <w:tcPr>
            <w:tcW w:w="1255" w:type="dxa"/>
          </w:tcPr>
          <w:p w14:paraId="6C71720F">
            <w:pPr>
              <w:autoSpaceDE w:val="0"/>
              <w:autoSpaceDN w:val="0"/>
              <w:adjustRightInd w:val="0"/>
              <w:rPr>
                <w:rFonts w:ascii="宋体" w:hAnsi="宋体" w:cs="宋体"/>
                <w:b/>
                <w:bCs/>
                <w:color w:val="000000" w:themeColor="text1"/>
                <w:szCs w:val="21"/>
                <w:lang w:val="zh-CN"/>
                <w14:textFill>
                  <w14:solidFill>
                    <w14:schemeClr w14:val="tx1"/>
                  </w14:solidFill>
                </w14:textFill>
              </w:rPr>
            </w:pPr>
          </w:p>
        </w:tc>
        <w:tc>
          <w:tcPr>
            <w:tcW w:w="2041" w:type="dxa"/>
          </w:tcPr>
          <w:p w14:paraId="5731A036">
            <w:pPr>
              <w:autoSpaceDE w:val="0"/>
              <w:autoSpaceDN w:val="0"/>
              <w:adjustRightInd w:val="0"/>
              <w:rPr>
                <w:rFonts w:ascii="宋体" w:hAnsi="宋体" w:cs="宋体"/>
                <w:b/>
                <w:bCs/>
                <w:color w:val="000000" w:themeColor="text1"/>
                <w:szCs w:val="21"/>
                <w:lang w:val="zh-CN"/>
                <w14:textFill>
                  <w14:solidFill>
                    <w14:schemeClr w14:val="tx1"/>
                  </w14:solidFill>
                </w14:textFill>
              </w:rPr>
            </w:pPr>
          </w:p>
        </w:tc>
        <w:tc>
          <w:tcPr>
            <w:tcW w:w="816" w:type="dxa"/>
          </w:tcPr>
          <w:p w14:paraId="25DC0DB6">
            <w:pPr>
              <w:autoSpaceDE w:val="0"/>
              <w:autoSpaceDN w:val="0"/>
              <w:adjustRightInd w:val="0"/>
              <w:rPr>
                <w:rFonts w:ascii="宋体" w:hAnsi="宋体" w:cs="宋体"/>
                <w:b/>
                <w:bCs/>
                <w:color w:val="000000" w:themeColor="text1"/>
                <w:szCs w:val="21"/>
                <w:lang w:val="zh-CN"/>
                <w14:textFill>
                  <w14:solidFill>
                    <w14:schemeClr w14:val="tx1"/>
                  </w14:solidFill>
                </w14:textFill>
              </w:rPr>
            </w:pPr>
          </w:p>
        </w:tc>
      </w:tr>
      <w:tr w14:paraId="127B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19" w:type="dxa"/>
            <w:vAlign w:val="center"/>
          </w:tcPr>
          <w:p w14:paraId="4E0BF434">
            <w:pPr>
              <w:jc w:val="center"/>
              <w:rPr>
                <w:rFonts w:ascii="宋体" w:hAnsi="宋体" w:cs="宋体"/>
                <w:bCs/>
                <w:color w:val="000000" w:themeColor="text1"/>
                <w:szCs w:val="21"/>
                <w14:textFill>
                  <w14:solidFill>
                    <w14:schemeClr w14:val="tx1"/>
                  </w14:solidFill>
                </w14:textFill>
              </w:rPr>
            </w:pPr>
          </w:p>
        </w:tc>
        <w:tc>
          <w:tcPr>
            <w:tcW w:w="1036" w:type="dxa"/>
          </w:tcPr>
          <w:p w14:paraId="3BA450BF">
            <w:pPr>
              <w:autoSpaceDE w:val="0"/>
              <w:autoSpaceDN w:val="0"/>
              <w:adjustRightInd w:val="0"/>
              <w:rPr>
                <w:rFonts w:ascii="宋体" w:hAnsi="宋体" w:cs="宋体"/>
                <w:b/>
                <w:bCs/>
                <w:color w:val="000000" w:themeColor="text1"/>
                <w:szCs w:val="21"/>
                <w:lang w:val="zh-CN"/>
                <w14:textFill>
                  <w14:solidFill>
                    <w14:schemeClr w14:val="tx1"/>
                  </w14:solidFill>
                </w14:textFill>
              </w:rPr>
            </w:pPr>
          </w:p>
        </w:tc>
        <w:tc>
          <w:tcPr>
            <w:tcW w:w="995" w:type="dxa"/>
          </w:tcPr>
          <w:p w14:paraId="29BA91C5">
            <w:pPr>
              <w:autoSpaceDE w:val="0"/>
              <w:autoSpaceDN w:val="0"/>
              <w:adjustRightInd w:val="0"/>
              <w:rPr>
                <w:rFonts w:ascii="宋体" w:hAnsi="宋体" w:cs="宋体"/>
                <w:b/>
                <w:bCs/>
                <w:color w:val="000000" w:themeColor="text1"/>
                <w:szCs w:val="21"/>
                <w:lang w:val="zh-CN"/>
                <w14:textFill>
                  <w14:solidFill>
                    <w14:schemeClr w14:val="tx1"/>
                  </w14:solidFill>
                </w14:textFill>
              </w:rPr>
            </w:pPr>
          </w:p>
        </w:tc>
        <w:tc>
          <w:tcPr>
            <w:tcW w:w="968" w:type="dxa"/>
          </w:tcPr>
          <w:p w14:paraId="7576F8FF">
            <w:pPr>
              <w:autoSpaceDE w:val="0"/>
              <w:autoSpaceDN w:val="0"/>
              <w:adjustRightInd w:val="0"/>
              <w:rPr>
                <w:rFonts w:ascii="宋体" w:hAnsi="宋体" w:cs="宋体"/>
                <w:b/>
                <w:bCs/>
                <w:color w:val="000000" w:themeColor="text1"/>
                <w:szCs w:val="21"/>
                <w:lang w:val="zh-CN"/>
                <w14:textFill>
                  <w14:solidFill>
                    <w14:schemeClr w14:val="tx1"/>
                  </w14:solidFill>
                </w14:textFill>
              </w:rPr>
            </w:pPr>
          </w:p>
        </w:tc>
        <w:tc>
          <w:tcPr>
            <w:tcW w:w="1746" w:type="dxa"/>
          </w:tcPr>
          <w:p w14:paraId="703B44F2">
            <w:pPr>
              <w:autoSpaceDE w:val="0"/>
              <w:autoSpaceDN w:val="0"/>
              <w:adjustRightInd w:val="0"/>
              <w:rPr>
                <w:rFonts w:ascii="宋体" w:hAnsi="宋体" w:cs="宋体"/>
                <w:b/>
                <w:bCs/>
                <w:color w:val="000000" w:themeColor="text1"/>
                <w:szCs w:val="21"/>
                <w:lang w:val="zh-CN"/>
                <w14:textFill>
                  <w14:solidFill>
                    <w14:schemeClr w14:val="tx1"/>
                  </w14:solidFill>
                </w14:textFill>
              </w:rPr>
            </w:pPr>
          </w:p>
        </w:tc>
        <w:tc>
          <w:tcPr>
            <w:tcW w:w="1255" w:type="dxa"/>
          </w:tcPr>
          <w:p w14:paraId="2CD0F0ED">
            <w:pPr>
              <w:autoSpaceDE w:val="0"/>
              <w:autoSpaceDN w:val="0"/>
              <w:adjustRightInd w:val="0"/>
              <w:rPr>
                <w:rFonts w:ascii="宋体" w:hAnsi="宋体" w:cs="宋体"/>
                <w:b/>
                <w:bCs/>
                <w:color w:val="000000" w:themeColor="text1"/>
                <w:szCs w:val="21"/>
                <w:lang w:val="zh-CN"/>
                <w14:textFill>
                  <w14:solidFill>
                    <w14:schemeClr w14:val="tx1"/>
                  </w14:solidFill>
                </w14:textFill>
              </w:rPr>
            </w:pPr>
          </w:p>
        </w:tc>
        <w:tc>
          <w:tcPr>
            <w:tcW w:w="2041" w:type="dxa"/>
          </w:tcPr>
          <w:p w14:paraId="66B7750F">
            <w:pPr>
              <w:autoSpaceDE w:val="0"/>
              <w:autoSpaceDN w:val="0"/>
              <w:adjustRightInd w:val="0"/>
              <w:rPr>
                <w:rFonts w:ascii="宋体" w:hAnsi="宋体" w:cs="宋体"/>
                <w:b/>
                <w:bCs/>
                <w:color w:val="000000" w:themeColor="text1"/>
                <w:szCs w:val="21"/>
                <w:lang w:val="zh-CN"/>
                <w14:textFill>
                  <w14:solidFill>
                    <w14:schemeClr w14:val="tx1"/>
                  </w14:solidFill>
                </w14:textFill>
              </w:rPr>
            </w:pPr>
          </w:p>
        </w:tc>
        <w:tc>
          <w:tcPr>
            <w:tcW w:w="816" w:type="dxa"/>
          </w:tcPr>
          <w:p w14:paraId="2712ACCC">
            <w:pPr>
              <w:autoSpaceDE w:val="0"/>
              <w:autoSpaceDN w:val="0"/>
              <w:adjustRightInd w:val="0"/>
              <w:rPr>
                <w:rFonts w:ascii="宋体" w:hAnsi="宋体" w:cs="宋体"/>
                <w:b/>
                <w:bCs/>
                <w:color w:val="000000" w:themeColor="text1"/>
                <w:szCs w:val="21"/>
                <w:lang w:val="zh-CN"/>
                <w14:textFill>
                  <w14:solidFill>
                    <w14:schemeClr w14:val="tx1"/>
                  </w14:solidFill>
                </w14:textFill>
              </w:rPr>
            </w:pPr>
          </w:p>
        </w:tc>
      </w:tr>
      <w:tr w14:paraId="5F46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19" w:type="dxa"/>
            <w:vAlign w:val="center"/>
          </w:tcPr>
          <w:p w14:paraId="347E7DF8">
            <w:pPr>
              <w:jc w:val="center"/>
              <w:rPr>
                <w:rFonts w:ascii="宋体" w:hAnsi="宋体" w:cs="宋体"/>
                <w:bCs/>
                <w:color w:val="000000" w:themeColor="text1"/>
                <w:szCs w:val="21"/>
                <w14:textFill>
                  <w14:solidFill>
                    <w14:schemeClr w14:val="tx1"/>
                  </w14:solidFill>
                </w14:textFill>
              </w:rPr>
            </w:pPr>
          </w:p>
        </w:tc>
        <w:tc>
          <w:tcPr>
            <w:tcW w:w="1036" w:type="dxa"/>
          </w:tcPr>
          <w:p w14:paraId="73B37120">
            <w:pPr>
              <w:autoSpaceDE w:val="0"/>
              <w:autoSpaceDN w:val="0"/>
              <w:adjustRightInd w:val="0"/>
              <w:rPr>
                <w:rFonts w:ascii="宋体" w:hAnsi="宋体" w:cs="宋体"/>
                <w:b/>
                <w:bCs/>
                <w:color w:val="000000" w:themeColor="text1"/>
                <w:szCs w:val="21"/>
                <w:lang w:val="zh-CN"/>
                <w14:textFill>
                  <w14:solidFill>
                    <w14:schemeClr w14:val="tx1"/>
                  </w14:solidFill>
                </w14:textFill>
              </w:rPr>
            </w:pPr>
          </w:p>
        </w:tc>
        <w:tc>
          <w:tcPr>
            <w:tcW w:w="995" w:type="dxa"/>
          </w:tcPr>
          <w:p w14:paraId="4607D741">
            <w:pPr>
              <w:autoSpaceDE w:val="0"/>
              <w:autoSpaceDN w:val="0"/>
              <w:adjustRightInd w:val="0"/>
              <w:rPr>
                <w:rFonts w:ascii="宋体" w:hAnsi="宋体" w:cs="宋体"/>
                <w:b/>
                <w:bCs/>
                <w:color w:val="000000" w:themeColor="text1"/>
                <w:szCs w:val="21"/>
                <w:lang w:val="zh-CN"/>
                <w14:textFill>
                  <w14:solidFill>
                    <w14:schemeClr w14:val="tx1"/>
                  </w14:solidFill>
                </w14:textFill>
              </w:rPr>
            </w:pPr>
          </w:p>
        </w:tc>
        <w:tc>
          <w:tcPr>
            <w:tcW w:w="968" w:type="dxa"/>
          </w:tcPr>
          <w:p w14:paraId="35D9B18E">
            <w:pPr>
              <w:autoSpaceDE w:val="0"/>
              <w:autoSpaceDN w:val="0"/>
              <w:adjustRightInd w:val="0"/>
              <w:rPr>
                <w:rFonts w:ascii="宋体" w:hAnsi="宋体" w:cs="宋体"/>
                <w:b/>
                <w:bCs/>
                <w:color w:val="000000" w:themeColor="text1"/>
                <w:szCs w:val="21"/>
                <w:lang w:val="zh-CN"/>
                <w14:textFill>
                  <w14:solidFill>
                    <w14:schemeClr w14:val="tx1"/>
                  </w14:solidFill>
                </w14:textFill>
              </w:rPr>
            </w:pPr>
          </w:p>
        </w:tc>
        <w:tc>
          <w:tcPr>
            <w:tcW w:w="1746" w:type="dxa"/>
          </w:tcPr>
          <w:p w14:paraId="7B7D5F5C">
            <w:pPr>
              <w:autoSpaceDE w:val="0"/>
              <w:autoSpaceDN w:val="0"/>
              <w:adjustRightInd w:val="0"/>
              <w:rPr>
                <w:rFonts w:ascii="宋体" w:hAnsi="宋体" w:cs="宋体"/>
                <w:b/>
                <w:bCs/>
                <w:color w:val="000000" w:themeColor="text1"/>
                <w:szCs w:val="21"/>
                <w:lang w:val="zh-CN"/>
                <w14:textFill>
                  <w14:solidFill>
                    <w14:schemeClr w14:val="tx1"/>
                  </w14:solidFill>
                </w14:textFill>
              </w:rPr>
            </w:pPr>
          </w:p>
        </w:tc>
        <w:tc>
          <w:tcPr>
            <w:tcW w:w="1255" w:type="dxa"/>
          </w:tcPr>
          <w:p w14:paraId="13C05744">
            <w:pPr>
              <w:autoSpaceDE w:val="0"/>
              <w:autoSpaceDN w:val="0"/>
              <w:adjustRightInd w:val="0"/>
              <w:rPr>
                <w:rFonts w:ascii="宋体" w:hAnsi="宋体" w:cs="宋体"/>
                <w:b/>
                <w:bCs/>
                <w:color w:val="000000" w:themeColor="text1"/>
                <w:szCs w:val="21"/>
                <w:lang w:val="zh-CN"/>
                <w14:textFill>
                  <w14:solidFill>
                    <w14:schemeClr w14:val="tx1"/>
                  </w14:solidFill>
                </w14:textFill>
              </w:rPr>
            </w:pPr>
          </w:p>
        </w:tc>
        <w:tc>
          <w:tcPr>
            <w:tcW w:w="2041" w:type="dxa"/>
          </w:tcPr>
          <w:p w14:paraId="54E09582">
            <w:pPr>
              <w:autoSpaceDE w:val="0"/>
              <w:autoSpaceDN w:val="0"/>
              <w:adjustRightInd w:val="0"/>
              <w:rPr>
                <w:rFonts w:ascii="宋体" w:hAnsi="宋体" w:cs="宋体"/>
                <w:b/>
                <w:bCs/>
                <w:color w:val="000000" w:themeColor="text1"/>
                <w:szCs w:val="21"/>
                <w:lang w:val="zh-CN"/>
                <w14:textFill>
                  <w14:solidFill>
                    <w14:schemeClr w14:val="tx1"/>
                  </w14:solidFill>
                </w14:textFill>
              </w:rPr>
            </w:pPr>
          </w:p>
        </w:tc>
        <w:tc>
          <w:tcPr>
            <w:tcW w:w="816" w:type="dxa"/>
          </w:tcPr>
          <w:p w14:paraId="46D472D8">
            <w:pPr>
              <w:autoSpaceDE w:val="0"/>
              <w:autoSpaceDN w:val="0"/>
              <w:adjustRightInd w:val="0"/>
              <w:rPr>
                <w:rFonts w:ascii="宋体" w:hAnsi="宋体" w:cs="宋体"/>
                <w:b/>
                <w:bCs/>
                <w:color w:val="000000" w:themeColor="text1"/>
                <w:szCs w:val="21"/>
                <w:lang w:val="zh-CN"/>
                <w14:textFill>
                  <w14:solidFill>
                    <w14:schemeClr w14:val="tx1"/>
                  </w14:solidFill>
                </w14:textFill>
              </w:rPr>
            </w:pPr>
          </w:p>
        </w:tc>
      </w:tr>
      <w:tr w14:paraId="2F985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19" w:type="dxa"/>
            <w:vAlign w:val="center"/>
          </w:tcPr>
          <w:p w14:paraId="33AB03ED">
            <w:pPr>
              <w:jc w:val="center"/>
              <w:rPr>
                <w:rFonts w:ascii="宋体" w:hAnsi="宋体" w:cs="宋体"/>
                <w:bCs/>
                <w:color w:val="000000" w:themeColor="text1"/>
                <w:szCs w:val="21"/>
                <w14:textFill>
                  <w14:solidFill>
                    <w14:schemeClr w14:val="tx1"/>
                  </w14:solidFill>
                </w14:textFill>
              </w:rPr>
            </w:pPr>
          </w:p>
        </w:tc>
        <w:tc>
          <w:tcPr>
            <w:tcW w:w="1036" w:type="dxa"/>
          </w:tcPr>
          <w:p w14:paraId="42C25937">
            <w:pPr>
              <w:autoSpaceDE w:val="0"/>
              <w:autoSpaceDN w:val="0"/>
              <w:adjustRightInd w:val="0"/>
              <w:rPr>
                <w:rFonts w:ascii="宋体" w:hAnsi="宋体" w:cs="宋体"/>
                <w:b/>
                <w:bCs/>
                <w:color w:val="000000" w:themeColor="text1"/>
                <w:szCs w:val="21"/>
                <w:lang w:val="zh-CN"/>
                <w14:textFill>
                  <w14:solidFill>
                    <w14:schemeClr w14:val="tx1"/>
                  </w14:solidFill>
                </w14:textFill>
              </w:rPr>
            </w:pPr>
          </w:p>
        </w:tc>
        <w:tc>
          <w:tcPr>
            <w:tcW w:w="995" w:type="dxa"/>
          </w:tcPr>
          <w:p w14:paraId="34E55CB6">
            <w:pPr>
              <w:autoSpaceDE w:val="0"/>
              <w:autoSpaceDN w:val="0"/>
              <w:adjustRightInd w:val="0"/>
              <w:rPr>
                <w:rFonts w:ascii="宋体" w:hAnsi="宋体" w:cs="宋体"/>
                <w:b/>
                <w:bCs/>
                <w:color w:val="000000" w:themeColor="text1"/>
                <w:szCs w:val="21"/>
                <w:lang w:val="zh-CN"/>
                <w14:textFill>
                  <w14:solidFill>
                    <w14:schemeClr w14:val="tx1"/>
                  </w14:solidFill>
                </w14:textFill>
              </w:rPr>
            </w:pPr>
          </w:p>
        </w:tc>
        <w:tc>
          <w:tcPr>
            <w:tcW w:w="968" w:type="dxa"/>
          </w:tcPr>
          <w:p w14:paraId="5E2281C4">
            <w:pPr>
              <w:autoSpaceDE w:val="0"/>
              <w:autoSpaceDN w:val="0"/>
              <w:adjustRightInd w:val="0"/>
              <w:rPr>
                <w:rFonts w:ascii="宋体" w:hAnsi="宋体" w:cs="宋体"/>
                <w:b/>
                <w:bCs/>
                <w:color w:val="000000" w:themeColor="text1"/>
                <w:szCs w:val="21"/>
                <w:lang w:val="zh-CN"/>
                <w14:textFill>
                  <w14:solidFill>
                    <w14:schemeClr w14:val="tx1"/>
                  </w14:solidFill>
                </w14:textFill>
              </w:rPr>
            </w:pPr>
          </w:p>
        </w:tc>
        <w:tc>
          <w:tcPr>
            <w:tcW w:w="1746" w:type="dxa"/>
          </w:tcPr>
          <w:p w14:paraId="6CD91943">
            <w:pPr>
              <w:autoSpaceDE w:val="0"/>
              <w:autoSpaceDN w:val="0"/>
              <w:adjustRightInd w:val="0"/>
              <w:rPr>
                <w:rFonts w:ascii="宋体" w:hAnsi="宋体" w:cs="宋体"/>
                <w:b/>
                <w:bCs/>
                <w:color w:val="000000" w:themeColor="text1"/>
                <w:szCs w:val="21"/>
                <w:lang w:val="zh-CN"/>
                <w14:textFill>
                  <w14:solidFill>
                    <w14:schemeClr w14:val="tx1"/>
                  </w14:solidFill>
                </w14:textFill>
              </w:rPr>
            </w:pPr>
          </w:p>
        </w:tc>
        <w:tc>
          <w:tcPr>
            <w:tcW w:w="1255" w:type="dxa"/>
          </w:tcPr>
          <w:p w14:paraId="5FAB101B">
            <w:pPr>
              <w:autoSpaceDE w:val="0"/>
              <w:autoSpaceDN w:val="0"/>
              <w:adjustRightInd w:val="0"/>
              <w:rPr>
                <w:rFonts w:ascii="宋体" w:hAnsi="宋体" w:cs="宋体"/>
                <w:b/>
                <w:bCs/>
                <w:color w:val="000000" w:themeColor="text1"/>
                <w:szCs w:val="21"/>
                <w:lang w:val="zh-CN"/>
                <w14:textFill>
                  <w14:solidFill>
                    <w14:schemeClr w14:val="tx1"/>
                  </w14:solidFill>
                </w14:textFill>
              </w:rPr>
            </w:pPr>
          </w:p>
        </w:tc>
        <w:tc>
          <w:tcPr>
            <w:tcW w:w="2041" w:type="dxa"/>
          </w:tcPr>
          <w:p w14:paraId="4095C3E2">
            <w:pPr>
              <w:autoSpaceDE w:val="0"/>
              <w:autoSpaceDN w:val="0"/>
              <w:adjustRightInd w:val="0"/>
              <w:rPr>
                <w:rFonts w:ascii="宋体" w:hAnsi="宋体" w:cs="宋体"/>
                <w:b/>
                <w:bCs/>
                <w:color w:val="000000" w:themeColor="text1"/>
                <w:szCs w:val="21"/>
                <w:lang w:val="zh-CN"/>
                <w14:textFill>
                  <w14:solidFill>
                    <w14:schemeClr w14:val="tx1"/>
                  </w14:solidFill>
                </w14:textFill>
              </w:rPr>
            </w:pPr>
          </w:p>
        </w:tc>
        <w:tc>
          <w:tcPr>
            <w:tcW w:w="816" w:type="dxa"/>
          </w:tcPr>
          <w:p w14:paraId="4C889A67">
            <w:pPr>
              <w:autoSpaceDE w:val="0"/>
              <w:autoSpaceDN w:val="0"/>
              <w:adjustRightInd w:val="0"/>
              <w:rPr>
                <w:rFonts w:ascii="宋体" w:hAnsi="宋体" w:cs="宋体"/>
                <w:b/>
                <w:bCs/>
                <w:color w:val="000000" w:themeColor="text1"/>
                <w:szCs w:val="21"/>
                <w:lang w:val="zh-CN"/>
                <w14:textFill>
                  <w14:solidFill>
                    <w14:schemeClr w14:val="tx1"/>
                  </w14:solidFill>
                </w14:textFill>
              </w:rPr>
            </w:pPr>
          </w:p>
        </w:tc>
      </w:tr>
      <w:tr w14:paraId="43EC1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19" w:type="dxa"/>
            <w:vAlign w:val="center"/>
          </w:tcPr>
          <w:p w14:paraId="0178FE5F">
            <w:pPr>
              <w:jc w:val="center"/>
              <w:rPr>
                <w:rFonts w:ascii="宋体" w:hAnsi="宋体" w:cs="宋体"/>
                <w:bCs/>
                <w:color w:val="000000" w:themeColor="text1"/>
                <w:szCs w:val="21"/>
                <w14:textFill>
                  <w14:solidFill>
                    <w14:schemeClr w14:val="tx1"/>
                  </w14:solidFill>
                </w14:textFill>
              </w:rPr>
            </w:pPr>
          </w:p>
        </w:tc>
        <w:tc>
          <w:tcPr>
            <w:tcW w:w="1036" w:type="dxa"/>
          </w:tcPr>
          <w:p w14:paraId="19C33D55">
            <w:pPr>
              <w:autoSpaceDE w:val="0"/>
              <w:autoSpaceDN w:val="0"/>
              <w:adjustRightInd w:val="0"/>
              <w:rPr>
                <w:rFonts w:ascii="宋体" w:hAnsi="宋体" w:cs="宋体"/>
                <w:b/>
                <w:bCs/>
                <w:color w:val="000000" w:themeColor="text1"/>
                <w:szCs w:val="21"/>
                <w:lang w:val="zh-CN"/>
                <w14:textFill>
                  <w14:solidFill>
                    <w14:schemeClr w14:val="tx1"/>
                  </w14:solidFill>
                </w14:textFill>
              </w:rPr>
            </w:pPr>
          </w:p>
        </w:tc>
        <w:tc>
          <w:tcPr>
            <w:tcW w:w="995" w:type="dxa"/>
          </w:tcPr>
          <w:p w14:paraId="7214AFE8">
            <w:pPr>
              <w:autoSpaceDE w:val="0"/>
              <w:autoSpaceDN w:val="0"/>
              <w:adjustRightInd w:val="0"/>
              <w:rPr>
                <w:rFonts w:ascii="宋体" w:hAnsi="宋体" w:cs="宋体"/>
                <w:b/>
                <w:bCs/>
                <w:color w:val="000000" w:themeColor="text1"/>
                <w:szCs w:val="21"/>
                <w:lang w:val="zh-CN"/>
                <w14:textFill>
                  <w14:solidFill>
                    <w14:schemeClr w14:val="tx1"/>
                  </w14:solidFill>
                </w14:textFill>
              </w:rPr>
            </w:pPr>
          </w:p>
        </w:tc>
        <w:tc>
          <w:tcPr>
            <w:tcW w:w="968" w:type="dxa"/>
          </w:tcPr>
          <w:p w14:paraId="1EAD4E4F">
            <w:pPr>
              <w:autoSpaceDE w:val="0"/>
              <w:autoSpaceDN w:val="0"/>
              <w:adjustRightInd w:val="0"/>
              <w:rPr>
                <w:rFonts w:ascii="宋体" w:hAnsi="宋体" w:cs="宋体"/>
                <w:b/>
                <w:bCs/>
                <w:color w:val="000000" w:themeColor="text1"/>
                <w:szCs w:val="21"/>
                <w:lang w:val="zh-CN"/>
                <w14:textFill>
                  <w14:solidFill>
                    <w14:schemeClr w14:val="tx1"/>
                  </w14:solidFill>
                </w14:textFill>
              </w:rPr>
            </w:pPr>
          </w:p>
        </w:tc>
        <w:tc>
          <w:tcPr>
            <w:tcW w:w="1746" w:type="dxa"/>
          </w:tcPr>
          <w:p w14:paraId="79A1E1AC">
            <w:pPr>
              <w:autoSpaceDE w:val="0"/>
              <w:autoSpaceDN w:val="0"/>
              <w:adjustRightInd w:val="0"/>
              <w:rPr>
                <w:rFonts w:ascii="宋体" w:hAnsi="宋体" w:cs="宋体"/>
                <w:b/>
                <w:bCs/>
                <w:color w:val="000000" w:themeColor="text1"/>
                <w:szCs w:val="21"/>
                <w:lang w:val="zh-CN"/>
                <w14:textFill>
                  <w14:solidFill>
                    <w14:schemeClr w14:val="tx1"/>
                  </w14:solidFill>
                </w14:textFill>
              </w:rPr>
            </w:pPr>
          </w:p>
        </w:tc>
        <w:tc>
          <w:tcPr>
            <w:tcW w:w="1255" w:type="dxa"/>
          </w:tcPr>
          <w:p w14:paraId="525B6D6F">
            <w:pPr>
              <w:autoSpaceDE w:val="0"/>
              <w:autoSpaceDN w:val="0"/>
              <w:adjustRightInd w:val="0"/>
              <w:rPr>
                <w:rFonts w:ascii="宋体" w:hAnsi="宋体" w:cs="宋体"/>
                <w:b/>
                <w:bCs/>
                <w:color w:val="000000" w:themeColor="text1"/>
                <w:szCs w:val="21"/>
                <w:lang w:val="zh-CN"/>
                <w14:textFill>
                  <w14:solidFill>
                    <w14:schemeClr w14:val="tx1"/>
                  </w14:solidFill>
                </w14:textFill>
              </w:rPr>
            </w:pPr>
          </w:p>
        </w:tc>
        <w:tc>
          <w:tcPr>
            <w:tcW w:w="2041" w:type="dxa"/>
          </w:tcPr>
          <w:p w14:paraId="18820F2C">
            <w:pPr>
              <w:autoSpaceDE w:val="0"/>
              <w:autoSpaceDN w:val="0"/>
              <w:adjustRightInd w:val="0"/>
              <w:rPr>
                <w:rFonts w:ascii="宋体" w:hAnsi="宋体" w:cs="宋体"/>
                <w:b/>
                <w:bCs/>
                <w:color w:val="000000" w:themeColor="text1"/>
                <w:szCs w:val="21"/>
                <w:lang w:val="zh-CN"/>
                <w14:textFill>
                  <w14:solidFill>
                    <w14:schemeClr w14:val="tx1"/>
                  </w14:solidFill>
                </w14:textFill>
              </w:rPr>
            </w:pPr>
          </w:p>
        </w:tc>
        <w:tc>
          <w:tcPr>
            <w:tcW w:w="816" w:type="dxa"/>
          </w:tcPr>
          <w:p w14:paraId="508CC846">
            <w:pPr>
              <w:autoSpaceDE w:val="0"/>
              <w:autoSpaceDN w:val="0"/>
              <w:adjustRightInd w:val="0"/>
              <w:rPr>
                <w:rFonts w:ascii="宋体" w:hAnsi="宋体" w:cs="宋体"/>
                <w:b/>
                <w:bCs/>
                <w:color w:val="000000" w:themeColor="text1"/>
                <w:szCs w:val="21"/>
                <w:lang w:val="zh-CN"/>
                <w14:textFill>
                  <w14:solidFill>
                    <w14:schemeClr w14:val="tx1"/>
                  </w14:solidFill>
                </w14:textFill>
              </w:rPr>
            </w:pPr>
          </w:p>
        </w:tc>
      </w:tr>
      <w:tr w14:paraId="73050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19" w:type="dxa"/>
            <w:vAlign w:val="center"/>
          </w:tcPr>
          <w:p w14:paraId="53056533">
            <w:pPr>
              <w:jc w:val="center"/>
              <w:rPr>
                <w:rFonts w:ascii="宋体" w:hAnsi="宋体" w:cs="宋体"/>
                <w:bCs/>
                <w:color w:val="000000" w:themeColor="text1"/>
                <w:szCs w:val="21"/>
                <w14:textFill>
                  <w14:solidFill>
                    <w14:schemeClr w14:val="tx1"/>
                  </w14:solidFill>
                </w14:textFill>
              </w:rPr>
            </w:pPr>
          </w:p>
        </w:tc>
        <w:tc>
          <w:tcPr>
            <w:tcW w:w="1036" w:type="dxa"/>
          </w:tcPr>
          <w:p w14:paraId="11082E78">
            <w:pPr>
              <w:autoSpaceDE w:val="0"/>
              <w:autoSpaceDN w:val="0"/>
              <w:adjustRightInd w:val="0"/>
              <w:rPr>
                <w:rFonts w:ascii="宋体" w:hAnsi="宋体" w:cs="宋体"/>
                <w:b/>
                <w:bCs/>
                <w:color w:val="000000" w:themeColor="text1"/>
                <w:szCs w:val="21"/>
                <w:lang w:val="zh-CN"/>
                <w14:textFill>
                  <w14:solidFill>
                    <w14:schemeClr w14:val="tx1"/>
                  </w14:solidFill>
                </w14:textFill>
              </w:rPr>
            </w:pPr>
          </w:p>
        </w:tc>
        <w:tc>
          <w:tcPr>
            <w:tcW w:w="995" w:type="dxa"/>
          </w:tcPr>
          <w:p w14:paraId="01EB7C60">
            <w:pPr>
              <w:autoSpaceDE w:val="0"/>
              <w:autoSpaceDN w:val="0"/>
              <w:adjustRightInd w:val="0"/>
              <w:rPr>
                <w:rFonts w:ascii="宋体" w:hAnsi="宋体" w:cs="宋体"/>
                <w:b/>
                <w:bCs/>
                <w:color w:val="000000" w:themeColor="text1"/>
                <w:szCs w:val="21"/>
                <w:lang w:val="zh-CN"/>
                <w14:textFill>
                  <w14:solidFill>
                    <w14:schemeClr w14:val="tx1"/>
                  </w14:solidFill>
                </w14:textFill>
              </w:rPr>
            </w:pPr>
          </w:p>
        </w:tc>
        <w:tc>
          <w:tcPr>
            <w:tcW w:w="968" w:type="dxa"/>
          </w:tcPr>
          <w:p w14:paraId="420F2CFE">
            <w:pPr>
              <w:autoSpaceDE w:val="0"/>
              <w:autoSpaceDN w:val="0"/>
              <w:adjustRightInd w:val="0"/>
              <w:rPr>
                <w:rFonts w:ascii="宋体" w:hAnsi="宋体" w:cs="宋体"/>
                <w:b/>
                <w:bCs/>
                <w:color w:val="000000" w:themeColor="text1"/>
                <w:szCs w:val="21"/>
                <w:lang w:val="zh-CN"/>
                <w14:textFill>
                  <w14:solidFill>
                    <w14:schemeClr w14:val="tx1"/>
                  </w14:solidFill>
                </w14:textFill>
              </w:rPr>
            </w:pPr>
          </w:p>
        </w:tc>
        <w:tc>
          <w:tcPr>
            <w:tcW w:w="1746" w:type="dxa"/>
          </w:tcPr>
          <w:p w14:paraId="5B3DD601">
            <w:pPr>
              <w:autoSpaceDE w:val="0"/>
              <w:autoSpaceDN w:val="0"/>
              <w:adjustRightInd w:val="0"/>
              <w:rPr>
                <w:rFonts w:ascii="宋体" w:hAnsi="宋体" w:cs="宋体"/>
                <w:b/>
                <w:bCs/>
                <w:color w:val="000000" w:themeColor="text1"/>
                <w:szCs w:val="21"/>
                <w:lang w:val="zh-CN"/>
                <w14:textFill>
                  <w14:solidFill>
                    <w14:schemeClr w14:val="tx1"/>
                  </w14:solidFill>
                </w14:textFill>
              </w:rPr>
            </w:pPr>
          </w:p>
        </w:tc>
        <w:tc>
          <w:tcPr>
            <w:tcW w:w="1255" w:type="dxa"/>
          </w:tcPr>
          <w:p w14:paraId="6E47CB03">
            <w:pPr>
              <w:autoSpaceDE w:val="0"/>
              <w:autoSpaceDN w:val="0"/>
              <w:adjustRightInd w:val="0"/>
              <w:rPr>
                <w:rFonts w:ascii="宋体" w:hAnsi="宋体" w:cs="宋体"/>
                <w:b/>
                <w:bCs/>
                <w:color w:val="000000" w:themeColor="text1"/>
                <w:szCs w:val="21"/>
                <w:lang w:val="zh-CN"/>
                <w14:textFill>
                  <w14:solidFill>
                    <w14:schemeClr w14:val="tx1"/>
                  </w14:solidFill>
                </w14:textFill>
              </w:rPr>
            </w:pPr>
          </w:p>
        </w:tc>
        <w:tc>
          <w:tcPr>
            <w:tcW w:w="2041" w:type="dxa"/>
          </w:tcPr>
          <w:p w14:paraId="53442C72">
            <w:pPr>
              <w:autoSpaceDE w:val="0"/>
              <w:autoSpaceDN w:val="0"/>
              <w:adjustRightInd w:val="0"/>
              <w:rPr>
                <w:rFonts w:ascii="宋体" w:hAnsi="宋体" w:cs="宋体"/>
                <w:b/>
                <w:bCs/>
                <w:color w:val="000000" w:themeColor="text1"/>
                <w:szCs w:val="21"/>
                <w:lang w:val="zh-CN"/>
                <w14:textFill>
                  <w14:solidFill>
                    <w14:schemeClr w14:val="tx1"/>
                  </w14:solidFill>
                </w14:textFill>
              </w:rPr>
            </w:pPr>
          </w:p>
        </w:tc>
        <w:tc>
          <w:tcPr>
            <w:tcW w:w="816" w:type="dxa"/>
          </w:tcPr>
          <w:p w14:paraId="796A0314">
            <w:pPr>
              <w:autoSpaceDE w:val="0"/>
              <w:autoSpaceDN w:val="0"/>
              <w:adjustRightInd w:val="0"/>
              <w:rPr>
                <w:rFonts w:ascii="宋体" w:hAnsi="宋体" w:cs="宋体"/>
                <w:b/>
                <w:bCs/>
                <w:color w:val="000000" w:themeColor="text1"/>
                <w:szCs w:val="21"/>
                <w:lang w:val="zh-CN"/>
                <w14:textFill>
                  <w14:solidFill>
                    <w14:schemeClr w14:val="tx1"/>
                  </w14:solidFill>
                </w14:textFill>
              </w:rPr>
            </w:pPr>
          </w:p>
        </w:tc>
      </w:tr>
    </w:tbl>
    <w:p w14:paraId="22A3C924">
      <w:pPr>
        <w:rPr>
          <w:color w:val="000000" w:themeColor="text1"/>
          <w14:textFill>
            <w14:solidFill>
              <w14:schemeClr w14:val="tx1"/>
            </w14:solidFill>
          </w14:textFill>
        </w:rPr>
      </w:pPr>
    </w:p>
    <w:p w14:paraId="00683C6E">
      <w:pPr>
        <w:spacing w:line="31" w:lineRule="exact"/>
        <w:rPr>
          <w:color w:val="000000" w:themeColor="text1"/>
          <w14:textFill>
            <w14:solidFill>
              <w14:schemeClr w14:val="tx1"/>
            </w14:solidFill>
          </w14:textFill>
        </w:rPr>
      </w:pPr>
    </w:p>
    <w:p w14:paraId="39E2ECFA">
      <w:pPr>
        <w:pStyle w:val="26"/>
        <w:snapToGrid w:val="0"/>
        <w:spacing w:line="900" w:lineRule="exact"/>
        <w:jc w:val="left"/>
        <w:rPr>
          <w:rFonts w:ascii="Times New Roman" w:hAnsi="Times New Roman"/>
          <w:color w:val="000000" w:themeColor="text1"/>
          <w:sz w:val="21"/>
          <w:szCs w:val="21"/>
          <w:u w:val="single"/>
          <w:lang w:bidi="th-TH"/>
          <w14:textFill>
            <w14:solidFill>
              <w14:schemeClr w14:val="tx1"/>
            </w14:solidFill>
          </w14:textFill>
        </w:rPr>
      </w:pPr>
      <w:r>
        <w:rPr>
          <w:rFonts w:ascii="Times New Roman" w:hAnsi="Times New Roman"/>
          <w:color w:val="000000" w:themeColor="text1"/>
          <w:sz w:val="21"/>
          <w:szCs w:val="21"/>
          <w:lang w:bidi="th-TH"/>
          <w14:textFill>
            <w14:solidFill>
              <w14:schemeClr w14:val="tx1"/>
            </w14:solidFill>
          </w14:textFill>
        </w:rPr>
        <w:t>投标人（盖章）：</w:t>
      </w:r>
    </w:p>
    <w:p w14:paraId="51AA0252">
      <w:pPr>
        <w:pStyle w:val="26"/>
        <w:snapToGrid w:val="0"/>
        <w:spacing w:line="900" w:lineRule="exact"/>
        <w:jc w:val="left"/>
        <w:rPr>
          <w:rFonts w:ascii="Times New Roman" w:hAnsi="Times New Roman"/>
          <w:color w:val="000000" w:themeColor="text1"/>
          <w:sz w:val="21"/>
          <w:szCs w:val="21"/>
          <w:u w:val="single"/>
          <w:lang w:bidi="th-TH"/>
          <w14:textFill>
            <w14:solidFill>
              <w14:schemeClr w14:val="tx1"/>
            </w14:solidFill>
          </w14:textFill>
        </w:rPr>
      </w:pPr>
      <w:r>
        <w:rPr>
          <w:rFonts w:ascii="Times New Roman" w:hAnsi="Times New Roman"/>
          <w:color w:val="000000" w:themeColor="text1"/>
          <w:sz w:val="21"/>
          <w:szCs w:val="21"/>
          <w:lang w:bidi="th-TH"/>
          <w14:textFill>
            <w14:solidFill>
              <w14:schemeClr w14:val="tx1"/>
            </w14:solidFill>
          </w14:textFill>
        </w:rPr>
        <w:t>法定代表人</w:t>
      </w:r>
      <w:r>
        <w:rPr>
          <w:rFonts w:hint="eastAsia" w:ascii="Times New Roman" w:hAnsi="Times New Roman"/>
          <w:color w:val="000000" w:themeColor="text1"/>
          <w:sz w:val="21"/>
          <w:szCs w:val="21"/>
          <w:lang w:bidi="th-TH"/>
          <w14:textFill>
            <w14:solidFill>
              <w14:schemeClr w14:val="tx1"/>
            </w14:solidFill>
          </w14:textFill>
        </w:rPr>
        <w:t>或其授权委托人</w:t>
      </w:r>
      <w:r>
        <w:rPr>
          <w:rFonts w:ascii="Times New Roman" w:hAnsi="Times New Roman"/>
          <w:color w:val="000000" w:themeColor="text1"/>
          <w:sz w:val="21"/>
          <w:szCs w:val="21"/>
          <w:lang w:bidi="th-TH"/>
          <w14:textFill>
            <w14:solidFill>
              <w14:schemeClr w14:val="tx1"/>
            </w14:solidFill>
          </w14:textFill>
        </w:rPr>
        <w:t>（签字或盖章）：</w:t>
      </w:r>
    </w:p>
    <w:p w14:paraId="0227E14E">
      <w:pPr>
        <w:pStyle w:val="26"/>
        <w:snapToGrid w:val="0"/>
        <w:spacing w:line="900" w:lineRule="exact"/>
        <w:jc w:val="left"/>
        <w:rPr>
          <w:rFonts w:ascii="Times New Roman" w:hAnsi="Times New Roman"/>
          <w:color w:val="000000" w:themeColor="text1"/>
          <w:sz w:val="21"/>
          <w:szCs w:val="21"/>
          <w:u w:val="single"/>
          <w:lang w:bidi="th-TH"/>
          <w14:textFill>
            <w14:solidFill>
              <w14:schemeClr w14:val="tx1"/>
            </w14:solidFill>
          </w14:textFill>
        </w:rPr>
      </w:pPr>
      <w:r>
        <w:rPr>
          <w:rFonts w:ascii="Times New Roman" w:hAnsi="Times New Roman"/>
          <w:color w:val="000000" w:themeColor="text1"/>
          <w:sz w:val="21"/>
          <w:szCs w:val="21"/>
          <w:lang w:bidi="th-TH"/>
          <w14:textFill>
            <w14:solidFill>
              <w14:schemeClr w14:val="tx1"/>
            </w14:solidFill>
          </w14:textFill>
        </w:rPr>
        <w:t>日期：</w:t>
      </w:r>
      <w:r>
        <w:rPr>
          <w:rFonts w:ascii="Times New Roman" w:hAnsi="Times New Roman"/>
          <w:color w:val="000000" w:themeColor="text1"/>
          <w:sz w:val="21"/>
          <w:szCs w:val="21"/>
          <w:u w:val="single"/>
          <w:lang w:bidi="th-TH"/>
          <w14:textFill>
            <w14:solidFill>
              <w14:schemeClr w14:val="tx1"/>
            </w14:solidFill>
          </w14:textFill>
        </w:rPr>
        <w:t xml:space="preserve">   年  月  日</w:t>
      </w:r>
    </w:p>
    <w:p w14:paraId="4EFB14D3">
      <w:pPr>
        <w:spacing w:line="480" w:lineRule="exact"/>
        <w:rPr>
          <w:color w:val="000000" w:themeColor="text1"/>
          <w:sz w:val="24"/>
          <w14:textFill>
            <w14:solidFill>
              <w14:schemeClr w14:val="tx1"/>
            </w14:solidFill>
          </w14:textFill>
        </w:rPr>
      </w:pPr>
    </w:p>
    <w:p w14:paraId="115AB1EF">
      <w:pPr>
        <w:widowControl/>
        <w:jc w:val="center"/>
        <w:rPr>
          <w:color w:val="000000" w:themeColor="text1"/>
          <w:sz w:val="24"/>
          <w:lang w:bidi="th-TH"/>
          <w14:textFill>
            <w14:solidFill>
              <w14:schemeClr w14:val="tx1"/>
            </w14:solidFill>
          </w14:textFill>
        </w:rPr>
      </w:pPr>
      <w:r>
        <w:rPr>
          <w:color w:val="000000" w:themeColor="text1"/>
          <w:sz w:val="24"/>
          <w:lang w:bidi="th-TH"/>
          <w14:textFill>
            <w14:solidFill>
              <w14:schemeClr w14:val="tx1"/>
            </w14:solidFill>
          </w14:textFill>
        </w:rPr>
        <w:br w:type="page"/>
      </w:r>
    </w:p>
    <w:p w14:paraId="5F68C8AE">
      <w:pPr>
        <w:spacing w:before="101" w:line="225" w:lineRule="auto"/>
        <w:rPr>
          <w:color w:val="000000" w:themeColor="text1"/>
          <w:sz w:val="24"/>
          <w:lang w:bidi="th-TH"/>
          <w14:textFill>
            <w14:solidFill>
              <w14:schemeClr w14:val="tx1"/>
            </w14:solidFill>
          </w14:textFill>
        </w:rPr>
      </w:pPr>
      <w:r>
        <w:rPr>
          <w:rFonts w:hint="eastAsia"/>
          <w:color w:val="000000" w:themeColor="text1"/>
          <w:sz w:val="24"/>
          <w:lang w:bidi="th-TH"/>
          <w14:textFill>
            <w14:solidFill>
              <w14:schemeClr w14:val="tx1"/>
            </w14:solidFill>
          </w14:textFill>
        </w:rPr>
        <w:t>格式六：</w:t>
      </w:r>
    </w:p>
    <w:p w14:paraId="51E7B784">
      <w:pPr>
        <w:rPr>
          <w:color w:val="000000" w:themeColor="text1"/>
          <w:lang w:bidi="th-TH"/>
          <w14:textFill>
            <w14:solidFill>
              <w14:schemeClr w14:val="tx1"/>
            </w14:solidFill>
          </w14:textFill>
        </w:rPr>
      </w:pPr>
    </w:p>
    <w:p w14:paraId="417829E8">
      <w:pPr>
        <w:autoSpaceDE w:val="0"/>
        <w:autoSpaceDN w:val="0"/>
        <w:adjustRightInd w:val="0"/>
        <w:spacing w:line="700" w:lineRule="exact"/>
        <w:jc w:val="center"/>
        <w:rPr>
          <w:rFonts w:ascii="宋体" w:hAnsi="宋体" w:cs="FangSong_GB2312-Identity-H"/>
          <w:b/>
          <w:bCs/>
          <w:color w:val="000000" w:themeColor="text1"/>
          <w:kern w:val="0"/>
          <w:sz w:val="36"/>
          <w:szCs w:val="36"/>
          <w14:textFill>
            <w14:solidFill>
              <w14:schemeClr w14:val="tx1"/>
            </w14:solidFill>
          </w14:textFill>
        </w:rPr>
      </w:pPr>
      <w:r>
        <w:rPr>
          <w:rFonts w:hint="eastAsia" w:ascii="宋体" w:hAnsi="宋体" w:cs="FangSong_GB2312-Identity-H"/>
          <w:b/>
          <w:bCs/>
          <w:color w:val="000000" w:themeColor="text1"/>
          <w:kern w:val="0"/>
          <w:sz w:val="36"/>
          <w:szCs w:val="36"/>
          <w14:textFill>
            <w14:solidFill>
              <w14:schemeClr w14:val="tx1"/>
            </w14:solidFill>
          </w14:textFill>
        </w:rPr>
        <w:t>商务条款偏离表</w:t>
      </w:r>
    </w:p>
    <w:p w14:paraId="39EC72C9">
      <w:pPr>
        <w:autoSpaceDE w:val="0"/>
        <w:autoSpaceDN w:val="0"/>
        <w:adjustRightInd w:val="0"/>
        <w:spacing w:line="700" w:lineRule="exact"/>
        <w:rPr>
          <w:rFonts w:ascii="宋体" w:hAnsi="宋体" w:cs="FangSong_GB2312-Identity-H"/>
          <w:color w:val="000000" w:themeColor="text1"/>
          <w:kern w:val="0"/>
          <w:szCs w:val="21"/>
          <w14:textFill>
            <w14:solidFill>
              <w14:schemeClr w14:val="tx1"/>
            </w14:solidFill>
          </w14:textFill>
        </w:rPr>
      </w:pPr>
      <w:r>
        <w:rPr>
          <w:rFonts w:hint="eastAsia" w:ascii="宋体" w:hAnsi="宋体" w:cs="FangSong_GB2312-Identity-H"/>
          <w:color w:val="000000" w:themeColor="text1"/>
          <w:kern w:val="0"/>
          <w:szCs w:val="21"/>
          <w14:textFill>
            <w14:solidFill>
              <w14:schemeClr w14:val="tx1"/>
            </w14:solidFill>
          </w14:textFill>
        </w:rPr>
        <w:t xml:space="preserve">项目编号：                                  </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971"/>
        <w:gridCol w:w="2349"/>
        <w:gridCol w:w="2340"/>
        <w:gridCol w:w="1620"/>
      </w:tblGrid>
      <w:tr w14:paraId="534B0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368" w:type="dxa"/>
            <w:vAlign w:val="center"/>
          </w:tcPr>
          <w:p w14:paraId="3EFC6A21">
            <w:pPr>
              <w:autoSpaceDE w:val="0"/>
              <w:autoSpaceDN w:val="0"/>
              <w:adjustRightInd w:val="0"/>
              <w:spacing w:line="360" w:lineRule="exact"/>
              <w:jc w:val="center"/>
              <w:rPr>
                <w:rFonts w:ascii="宋体" w:hAnsi="宋体" w:cs="FangSong_GB2312-Identity-H"/>
                <w:bCs/>
                <w:color w:val="000000" w:themeColor="text1"/>
                <w:kern w:val="0"/>
                <w:szCs w:val="21"/>
                <w14:textFill>
                  <w14:solidFill>
                    <w14:schemeClr w14:val="tx1"/>
                  </w14:solidFill>
                </w14:textFill>
              </w:rPr>
            </w:pPr>
            <w:r>
              <w:rPr>
                <w:rFonts w:hint="eastAsia" w:ascii="宋体" w:hAnsi="宋体" w:cs="FangSong_GB2312-Identity-H"/>
                <w:bCs/>
                <w:color w:val="000000" w:themeColor="text1"/>
                <w:kern w:val="0"/>
                <w:szCs w:val="21"/>
                <w14:textFill>
                  <w14:solidFill>
                    <w14:schemeClr w14:val="tx1"/>
                  </w14:solidFill>
                </w14:textFill>
              </w:rPr>
              <w:t>序号</w:t>
            </w:r>
          </w:p>
        </w:tc>
        <w:tc>
          <w:tcPr>
            <w:tcW w:w="1971" w:type="dxa"/>
            <w:vAlign w:val="center"/>
          </w:tcPr>
          <w:p w14:paraId="7480370C">
            <w:pPr>
              <w:autoSpaceDE w:val="0"/>
              <w:autoSpaceDN w:val="0"/>
              <w:adjustRightInd w:val="0"/>
              <w:spacing w:line="360" w:lineRule="exact"/>
              <w:jc w:val="center"/>
              <w:rPr>
                <w:rFonts w:ascii="宋体" w:hAnsi="宋体" w:cs="FangSong_GB2312-Identity-H"/>
                <w:bCs/>
                <w:color w:val="000000" w:themeColor="text1"/>
                <w:kern w:val="0"/>
                <w:szCs w:val="21"/>
                <w14:textFill>
                  <w14:solidFill>
                    <w14:schemeClr w14:val="tx1"/>
                  </w14:solidFill>
                </w14:textFill>
              </w:rPr>
            </w:pPr>
            <w:r>
              <w:rPr>
                <w:rFonts w:hint="eastAsia" w:ascii="宋体" w:hAnsi="宋体" w:cs="FangSong_GB2312-Identity-H"/>
                <w:bCs/>
                <w:color w:val="000000" w:themeColor="text1"/>
                <w:kern w:val="0"/>
                <w:szCs w:val="21"/>
                <w14:textFill>
                  <w14:solidFill>
                    <w14:schemeClr w14:val="tx1"/>
                  </w14:solidFill>
                </w14:textFill>
              </w:rPr>
              <w:t>招标文件</w:t>
            </w:r>
          </w:p>
          <w:p w14:paraId="75CCB700">
            <w:pPr>
              <w:autoSpaceDE w:val="0"/>
              <w:autoSpaceDN w:val="0"/>
              <w:adjustRightInd w:val="0"/>
              <w:spacing w:line="360" w:lineRule="exact"/>
              <w:jc w:val="center"/>
              <w:rPr>
                <w:rFonts w:ascii="宋体" w:hAnsi="宋体" w:cs="FangSong_GB2312-Identity-H"/>
                <w:bCs/>
                <w:color w:val="000000" w:themeColor="text1"/>
                <w:kern w:val="0"/>
                <w:szCs w:val="21"/>
                <w14:textFill>
                  <w14:solidFill>
                    <w14:schemeClr w14:val="tx1"/>
                  </w14:solidFill>
                </w14:textFill>
              </w:rPr>
            </w:pPr>
            <w:r>
              <w:rPr>
                <w:rFonts w:hint="eastAsia" w:ascii="宋体" w:hAnsi="宋体" w:cs="FangSong_GB2312-Identity-H"/>
                <w:bCs/>
                <w:color w:val="000000" w:themeColor="text1"/>
                <w:kern w:val="0"/>
                <w:szCs w:val="21"/>
                <w14:textFill>
                  <w14:solidFill>
                    <w14:schemeClr w14:val="tx1"/>
                  </w14:solidFill>
                </w14:textFill>
              </w:rPr>
              <w:t>条目号</w:t>
            </w:r>
          </w:p>
        </w:tc>
        <w:tc>
          <w:tcPr>
            <w:tcW w:w="2349" w:type="dxa"/>
            <w:vAlign w:val="center"/>
          </w:tcPr>
          <w:p w14:paraId="49956DB7">
            <w:pPr>
              <w:autoSpaceDE w:val="0"/>
              <w:autoSpaceDN w:val="0"/>
              <w:adjustRightInd w:val="0"/>
              <w:spacing w:line="360" w:lineRule="exact"/>
              <w:jc w:val="center"/>
              <w:rPr>
                <w:rFonts w:ascii="宋体" w:hAnsi="宋体" w:cs="FangSong_GB2312-Identity-H"/>
                <w:bCs/>
                <w:color w:val="000000" w:themeColor="text1"/>
                <w:kern w:val="0"/>
                <w:szCs w:val="21"/>
                <w14:textFill>
                  <w14:solidFill>
                    <w14:schemeClr w14:val="tx1"/>
                  </w14:solidFill>
                </w14:textFill>
              </w:rPr>
            </w:pPr>
            <w:r>
              <w:rPr>
                <w:rFonts w:hint="eastAsia" w:ascii="宋体" w:hAnsi="宋体" w:cs="FangSong_GB2312-Identity-H"/>
                <w:bCs/>
                <w:color w:val="000000" w:themeColor="text1"/>
                <w:kern w:val="0"/>
                <w:szCs w:val="21"/>
                <w14:textFill>
                  <w14:solidFill>
                    <w14:schemeClr w14:val="tx1"/>
                  </w14:solidFill>
                </w14:textFill>
              </w:rPr>
              <w:t>招标文件的</w:t>
            </w:r>
          </w:p>
          <w:p w14:paraId="049EE2EC">
            <w:pPr>
              <w:autoSpaceDE w:val="0"/>
              <w:autoSpaceDN w:val="0"/>
              <w:adjustRightInd w:val="0"/>
              <w:spacing w:line="360" w:lineRule="exact"/>
              <w:jc w:val="center"/>
              <w:rPr>
                <w:rFonts w:ascii="宋体" w:hAnsi="宋体" w:cs="FangSong_GB2312-Identity-H"/>
                <w:bCs/>
                <w:color w:val="000000" w:themeColor="text1"/>
                <w:kern w:val="0"/>
                <w:szCs w:val="21"/>
                <w14:textFill>
                  <w14:solidFill>
                    <w14:schemeClr w14:val="tx1"/>
                  </w14:solidFill>
                </w14:textFill>
              </w:rPr>
            </w:pPr>
            <w:r>
              <w:rPr>
                <w:rFonts w:hint="eastAsia" w:ascii="宋体" w:hAnsi="宋体" w:cs="FangSong_GB2312-Identity-H"/>
                <w:bCs/>
                <w:color w:val="000000" w:themeColor="text1"/>
                <w:kern w:val="0"/>
                <w:szCs w:val="21"/>
                <w14:textFill>
                  <w14:solidFill>
                    <w14:schemeClr w14:val="tx1"/>
                  </w14:solidFill>
                </w14:textFill>
              </w:rPr>
              <w:t>商务条款</w:t>
            </w:r>
          </w:p>
        </w:tc>
        <w:tc>
          <w:tcPr>
            <w:tcW w:w="2340" w:type="dxa"/>
            <w:vAlign w:val="center"/>
          </w:tcPr>
          <w:p w14:paraId="5E741840">
            <w:pPr>
              <w:autoSpaceDE w:val="0"/>
              <w:autoSpaceDN w:val="0"/>
              <w:adjustRightInd w:val="0"/>
              <w:spacing w:line="360" w:lineRule="exact"/>
              <w:jc w:val="center"/>
              <w:rPr>
                <w:rFonts w:ascii="宋体" w:hAnsi="宋体" w:cs="FangSong_GB2312-Identity-H"/>
                <w:bCs/>
                <w:color w:val="000000" w:themeColor="text1"/>
                <w:kern w:val="0"/>
                <w:szCs w:val="21"/>
                <w14:textFill>
                  <w14:solidFill>
                    <w14:schemeClr w14:val="tx1"/>
                  </w14:solidFill>
                </w14:textFill>
              </w:rPr>
            </w:pPr>
            <w:r>
              <w:rPr>
                <w:rFonts w:hint="eastAsia" w:ascii="宋体" w:hAnsi="宋体" w:cs="FangSong_GB2312-Identity-H"/>
                <w:bCs/>
                <w:color w:val="000000" w:themeColor="text1"/>
                <w:kern w:val="0"/>
                <w:szCs w:val="21"/>
                <w14:textFill>
                  <w14:solidFill>
                    <w14:schemeClr w14:val="tx1"/>
                  </w14:solidFill>
                </w14:textFill>
              </w:rPr>
              <w:t>投标文件的</w:t>
            </w:r>
          </w:p>
          <w:p w14:paraId="26D34903">
            <w:pPr>
              <w:autoSpaceDE w:val="0"/>
              <w:autoSpaceDN w:val="0"/>
              <w:adjustRightInd w:val="0"/>
              <w:spacing w:line="360" w:lineRule="exact"/>
              <w:jc w:val="center"/>
              <w:rPr>
                <w:rFonts w:ascii="宋体" w:hAnsi="宋体" w:cs="FangSong_GB2312-Identity-H"/>
                <w:bCs/>
                <w:color w:val="000000" w:themeColor="text1"/>
                <w:kern w:val="0"/>
                <w:szCs w:val="21"/>
                <w14:textFill>
                  <w14:solidFill>
                    <w14:schemeClr w14:val="tx1"/>
                  </w14:solidFill>
                </w14:textFill>
              </w:rPr>
            </w:pPr>
            <w:r>
              <w:rPr>
                <w:rFonts w:hint="eastAsia" w:ascii="宋体" w:hAnsi="宋体" w:cs="FangSong_GB2312-Identity-H"/>
                <w:bCs/>
                <w:color w:val="000000" w:themeColor="text1"/>
                <w:kern w:val="0"/>
                <w:szCs w:val="21"/>
                <w14:textFill>
                  <w14:solidFill>
                    <w14:schemeClr w14:val="tx1"/>
                  </w14:solidFill>
                </w14:textFill>
              </w:rPr>
              <w:t>商务条款</w:t>
            </w:r>
          </w:p>
        </w:tc>
        <w:tc>
          <w:tcPr>
            <w:tcW w:w="1620" w:type="dxa"/>
            <w:vAlign w:val="center"/>
          </w:tcPr>
          <w:p w14:paraId="12A4B1F0">
            <w:pPr>
              <w:autoSpaceDE w:val="0"/>
              <w:autoSpaceDN w:val="0"/>
              <w:adjustRightInd w:val="0"/>
              <w:spacing w:line="360" w:lineRule="exact"/>
              <w:jc w:val="center"/>
              <w:rPr>
                <w:rFonts w:ascii="宋体" w:hAnsi="宋体" w:cs="FangSong_GB2312-Identity-H"/>
                <w:bCs/>
                <w:color w:val="000000" w:themeColor="text1"/>
                <w:kern w:val="0"/>
                <w:szCs w:val="21"/>
                <w14:textFill>
                  <w14:solidFill>
                    <w14:schemeClr w14:val="tx1"/>
                  </w14:solidFill>
                </w14:textFill>
              </w:rPr>
            </w:pPr>
            <w:r>
              <w:rPr>
                <w:rFonts w:hint="eastAsia" w:ascii="宋体" w:hAnsi="宋体" w:cs="FangSong_GB2312-Identity-H"/>
                <w:bCs/>
                <w:color w:val="000000" w:themeColor="text1"/>
                <w:kern w:val="0"/>
                <w:szCs w:val="21"/>
                <w14:textFill>
                  <w14:solidFill>
                    <w14:schemeClr w14:val="tx1"/>
                  </w14:solidFill>
                </w14:textFill>
              </w:rPr>
              <w:t>说明</w:t>
            </w:r>
          </w:p>
        </w:tc>
      </w:tr>
      <w:tr w14:paraId="2364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7F59776D">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c>
          <w:tcPr>
            <w:tcW w:w="1971" w:type="dxa"/>
            <w:vAlign w:val="center"/>
          </w:tcPr>
          <w:p w14:paraId="26477EAB">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c>
          <w:tcPr>
            <w:tcW w:w="2349" w:type="dxa"/>
            <w:vAlign w:val="center"/>
          </w:tcPr>
          <w:p w14:paraId="1FD33985">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c>
          <w:tcPr>
            <w:tcW w:w="2340" w:type="dxa"/>
            <w:vAlign w:val="center"/>
          </w:tcPr>
          <w:p w14:paraId="05525D2A">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c>
          <w:tcPr>
            <w:tcW w:w="1620" w:type="dxa"/>
            <w:vAlign w:val="center"/>
          </w:tcPr>
          <w:p w14:paraId="43CCD06D">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r>
      <w:tr w14:paraId="1879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6A3F26CC">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c>
          <w:tcPr>
            <w:tcW w:w="1971" w:type="dxa"/>
            <w:vAlign w:val="center"/>
          </w:tcPr>
          <w:p w14:paraId="13C059CC">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c>
          <w:tcPr>
            <w:tcW w:w="2349" w:type="dxa"/>
            <w:vAlign w:val="center"/>
          </w:tcPr>
          <w:p w14:paraId="554199FC">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c>
          <w:tcPr>
            <w:tcW w:w="2340" w:type="dxa"/>
            <w:vAlign w:val="center"/>
          </w:tcPr>
          <w:p w14:paraId="50BD3F33">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c>
          <w:tcPr>
            <w:tcW w:w="1620" w:type="dxa"/>
            <w:vAlign w:val="center"/>
          </w:tcPr>
          <w:p w14:paraId="072E5B87">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r>
      <w:tr w14:paraId="1F037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18CF2236">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c>
          <w:tcPr>
            <w:tcW w:w="1971" w:type="dxa"/>
            <w:vAlign w:val="center"/>
          </w:tcPr>
          <w:p w14:paraId="5D60229E">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c>
          <w:tcPr>
            <w:tcW w:w="2349" w:type="dxa"/>
            <w:vAlign w:val="center"/>
          </w:tcPr>
          <w:p w14:paraId="4C1CFFA8">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c>
          <w:tcPr>
            <w:tcW w:w="2340" w:type="dxa"/>
            <w:vAlign w:val="center"/>
          </w:tcPr>
          <w:p w14:paraId="0F88BE54">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c>
          <w:tcPr>
            <w:tcW w:w="1620" w:type="dxa"/>
            <w:vAlign w:val="center"/>
          </w:tcPr>
          <w:p w14:paraId="0BFA5E62">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r>
      <w:tr w14:paraId="7B30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63BD4C4F">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c>
          <w:tcPr>
            <w:tcW w:w="1971" w:type="dxa"/>
            <w:vAlign w:val="center"/>
          </w:tcPr>
          <w:p w14:paraId="7025627D">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c>
          <w:tcPr>
            <w:tcW w:w="2349" w:type="dxa"/>
            <w:vAlign w:val="center"/>
          </w:tcPr>
          <w:p w14:paraId="654055E9">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c>
          <w:tcPr>
            <w:tcW w:w="2340" w:type="dxa"/>
            <w:vAlign w:val="center"/>
          </w:tcPr>
          <w:p w14:paraId="702CB943">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c>
          <w:tcPr>
            <w:tcW w:w="1620" w:type="dxa"/>
            <w:vAlign w:val="center"/>
          </w:tcPr>
          <w:p w14:paraId="7ECC3593">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r>
      <w:tr w14:paraId="7365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0441CC5F">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c>
          <w:tcPr>
            <w:tcW w:w="1971" w:type="dxa"/>
            <w:vAlign w:val="center"/>
          </w:tcPr>
          <w:p w14:paraId="6B4A1A12">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c>
          <w:tcPr>
            <w:tcW w:w="2349" w:type="dxa"/>
            <w:vAlign w:val="center"/>
          </w:tcPr>
          <w:p w14:paraId="14D72246">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c>
          <w:tcPr>
            <w:tcW w:w="2340" w:type="dxa"/>
            <w:vAlign w:val="center"/>
          </w:tcPr>
          <w:p w14:paraId="1C4A831E">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c>
          <w:tcPr>
            <w:tcW w:w="1620" w:type="dxa"/>
            <w:vAlign w:val="center"/>
          </w:tcPr>
          <w:p w14:paraId="7194C566">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r>
      <w:tr w14:paraId="6A119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265E9D1F">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c>
          <w:tcPr>
            <w:tcW w:w="1971" w:type="dxa"/>
            <w:vAlign w:val="center"/>
          </w:tcPr>
          <w:p w14:paraId="16BE6FAD">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c>
          <w:tcPr>
            <w:tcW w:w="2349" w:type="dxa"/>
            <w:vAlign w:val="center"/>
          </w:tcPr>
          <w:p w14:paraId="22CF0948">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c>
          <w:tcPr>
            <w:tcW w:w="2340" w:type="dxa"/>
            <w:vAlign w:val="center"/>
          </w:tcPr>
          <w:p w14:paraId="7BA3C2EE">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c>
          <w:tcPr>
            <w:tcW w:w="1620" w:type="dxa"/>
            <w:vAlign w:val="center"/>
          </w:tcPr>
          <w:p w14:paraId="547A1201">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r>
      <w:tr w14:paraId="7C2F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412B9951">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c>
          <w:tcPr>
            <w:tcW w:w="1971" w:type="dxa"/>
            <w:vAlign w:val="center"/>
          </w:tcPr>
          <w:p w14:paraId="40A59437">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c>
          <w:tcPr>
            <w:tcW w:w="2349" w:type="dxa"/>
            <w:vAlign w:val="center"/>
          </w:tcPr>
          <w:p w14:paraId="2B33C904">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c>
          <w:tcPr>
            <w:tcW w:w="2340" w:type="dxa"/>
            <w:vAlign w:val="center"/>
          </w:tcPr>
          <w:p w14:paraId="7CB3596B">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c>
          <w:tcPr>
            <w:tcW w:w="1620" w:type="dxa"/>
            <w:vAlign w:val="center"/>
          </w:tcPr>
          <w:p w14:paraId="077A5C34">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r>
      <w:tr w14:paraId="7D67E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56AED944">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c>
          <w:tcPr>
            <w:tcW w:w="1971" w:type="dxa"/>
            <w:vAlign w:val="center"/>
          </w:tcPr>
          <w:p w14:paraId="0CD1E8D6">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c>
          <w:tcPr>
            <w:tcW w:w="2349" w:type="dxa"/>
            <w:vAlign w:val="center"/>
          </w:tcPr>
          <w:p w14:paraId="6BDE1921">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c>
          <w:tcPr>
            <w:tcW w:w="2340" w:type="dxa"/>
            <w:vAlign w:val="center"/>
          </w:tcPr>
          <w:p w14:paraId="4276FA74">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c>
          <w:tcPr>
            <w:tcW w:w="1620" w:type="dxa"/>
            <w:vAlign w:val="center"/>
          </w:tcPr>
          <w:p w14:paraId="69730A88">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r>
      <w:tr w14:paraId="188D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171ACEFB">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c>
          <w:tcPr>
            <w:tcW w:w="1971" w:type="dxa"/>
            <w:vAlign w:val="center"/>
          </w:tcPr>
          <w:p w14:paraId="7A83303F">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c>
          <w:tcPr>
            <w:tcW w:w="2349" w:type="dxa"/>
            <w:vAlign w:val="center"/>
          </w:tcPr>
          <w:p w14:paraId="15DEE284">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c>
          <w:tcPr>
            <w:tcW w:w="2340" w:type="dxa"/>
            <w:vAlign w:val="center"/>
          </w:tcPr>
          <w:p w14:paraId="22A49EB9">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c>
          <w:tcPr>
            <w:tcW w:w="1620" w:type="dxa"/>
            <w:vAlign w:val="center"/>
          </w:tcPr>
          <w:p w14:paraId="2069DE99">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r>
      <w:tr w14:paraId="5885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02C2EFE5">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c>
          <w:tcPr>
            <w:tcW w:w="1971" w:type="dxa"/>
            <w:vAlign w:val="center"/>
          </w:tcPr>
          <w:p w14:paraId="0B79E143">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c>
          <w:tcPr>
            <w:tcW w:w="2349" w:type="dxa"/>
            <w:vAlign w:val="center"/>
          </w:tcPr>
          <w:p w14:paraId="5DC37C3D">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c>
          <w:tcPr>
            <w:tcW w:w="2340" w:type="dxa"/>
            <w:vAlign w:val="center"/>
          </w:tcPr>
          <w:p w14:paraId="2F822A23">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c>
          <w:tcPr>
            <w:tcW w:w="1620" w:type="dxa"/>
            <w:vAlign w:val="center"/>
          </w:tcPr>
          <w:p w14:paraId="2F97402E">
            <w:pPr>
              <w:autoSpaceDE w:val="0"/>
              <w:autoSpaceDN w:val="0"/>
              <w:adjustRightInd w:val="0"/>
              <w:spacing w:line="700" w:lineRule="exact"/>
              <w:jc w:val="center"/>
              <w:rPr>
                <w:rFonts w:ascii="宋体" w:hAnsi="宋体" w:cs="FangSong_GB2312-Identity-H"/>
                <w:bCs/>
                <w:color w:val="000000" w:themeColor="text1"/>
                <w:kern w:val="0"/>
                <w:szCs w:val="21"/>
                <w14:textFill>
                  <w14:solidFill>
                    <w14:schemeClr w14:val="tx1"/>
                  </w14:solidFill>
                </w14:textFill>
              </w:rPr>
            </w:pPr>
          </w:p>
        </w:tc>
      </w:tr>
    </w:tbl>
    <w:p w14:paraId="26A5E2DB">
      <w:pPr>
        <w:autoSpaceDE w:val="0"/>
        <w:autoSpaceDN w:val="0"/>
        <w:adjustRightInd w:val="0"/>
        <w:spacing w:line="700" w:lineRule="exact"/>
        <w:rPr>
          <w:rFonts w:ascii="宋体" w:hAnsi="宋体" w:cs="FangSong_GB2312-Identity-H"/>
          <w:bCs/>
          <w:color w:val="000000" w:themeColor="text1"/>
          <w:kern w:val="0"/>
          <w:szCs w:val="21"/>
          <w14:textFill>
            <w14:solidFill>
              <w14:schemeClr w14:val="tx1"/>
            </w14:solidFill>
          </w14:textFill>
        </w:rPr>
      </w:pPr>
      <w:r>
        <w:rPr>
          <w:rFonts w:hint="eastAsia" w:ascii="宋体" w:hAnsi="宋体" w:cs="FangSong_GB2312-Identity-H"/>
          <w:color w:val="000000" w:themeColor="text1"/>
          <w:kern w:val="0"/>
          <w:szCs w:val="21"/>
          <w14:textFill>
            <w14:solidFill>
              <w14:schemeClr w14:val="tx1"/>
            </w14:solidFill>
          </w14:textFill>
        </w:rPr>
        <w:t>我方承诺：完全响应招标文件的其他条款。</w:t>
      </w:r>
    </w:p>
    <w:p w14:paraId="44FCA900">
      <w:pPr>
        <w:autoSpaceDE w:val="0"/>
        <w:autoSpaceDN w:val="0"/>
        <w:adjustRightInd w:val="0"/>
        <w:spacing w:line="500" w:lineRule="exact"/>
        <w:jc w:val="left"/>
        <w:rPr>
          <w:rFonts w:ascii="宋体" w:hAnsi="宋体" w:cs="FangSong_GB2312-Identity-H"/>
          <w:color w:val="000000" w:themeColor="text1"/>
          <w:kern w:val="0"/>
          <w:szCs w:val="21"/>
          <w14:textFill>
            <w14:solidFill>
              <w14:schemeClr w14:val="tx1"/>
            </w14:solidFill>
          </w14:textFill>
        </w:rPr>
      </w:pPr>
    </w:p>
    <w:p w14:paraId="2BEC3CBE">
      <w:pPr>
        <w:autoSpaceDE w:val="0"/>
        <w:autoSpaceDN w:val="0"/>
        <w:adjustRightInd w:val="0"/>
        <w:spacing w:line="500" w:lineRule="exact"/>
        <w:jc w:val="left"/>
        <w:rPr>
          <w:rFonts w:ascii="宋体" w:hAnsi="宋体" w:cs="FangSong_GB2312-Identity-H"/>
          <w:color w:val="000000" w:themeColor="text1"/>
          <w:kern w:val="0"/>
          <w:szCs w:val="21"/>
          <w14:textFill>
            <w14:solidFill>
              <w14:schemeClr w14:val="tx1"/>
            </w14:solidFill>
          </w14:textFill>
        </w:rPr>
      </w:pPr>
      <w:r>
        <w:rPr>
          <w:rFonts w:hint="eastAsia" w:ascii="宋体" w:hAnsi="宋体" w:cs="FangSong_GB2312-Identity-H"/>
          <w:color w:val="000000" w:themeColor="text1"/>
          <w:kern w:val="0"/>
          <w:szCs w:val="21"/>
          <w14:textFill>
            <w14:solidFill>
              <w14:schemeClr w14:val="tx1"/>
            </w14:solidFill>
          </w14:textFill>
        </w:rPr>
        <w:t>投标人</w:t>
      </w:r>
      <w:r>
        <w:rPr>
          <w:rFonts w:ascii="宋体" w:hAnsi="宋体" w:cs="FangSong_GB2312-Identity-H"/>
          <w:color w:val="000000" w:themeColor="text1"/>
          <w:kern w:val="0"/>
          <w:szCs w:val="21"/>
          <w14:textFill>
            <w14:solidFill>
              <w14:schemeClr w14:val="tx1"/>
            </w14:solidFill>
          </w14:textFill>
        </w:rPr>
        <w:t>(</w:t>
      </w:r>
      <w:r>
        <w:rPr>
          <w:rFonts w:hint="eastAsia" w:ascii="宋体" w:hAnsi="宋体" w:cs="FangSong_GB2312-Identity-H"/>
          <w:color w:val="000000" w:themeColor="text1"/>
          <w:kern w:val="0"/>
          <w:szCs w:val="21"/>
          <w14:textFill>
            <w14:solidFill>
              <w14:schemeClr w14:val="tx1"/>
            </w14:solidFill>
          </w14:textFill>
        </w:rPr>
        <w:t>公章</w:t>
      </w:r>
      <w:r>
        <w:rPr>
          <w:rFonts w:ascii="宋体" w:hAnsi="宋体" w:cs="FangSong_GB2312-Identity-H"/>
          <w:color w:val="000000" w:themeColor="text1"/>
          <w:kern w:val="0"/>
          <w:szCs w:val="21"/>
          <w14:textFill>
            <w14:solidFill>
              <w14:schemeClr w14:val="tx1"/>
            </w14:solidFill>
          </w14:textFill>
        </w:rPr>
        <w:t xml:space="preserve">) </w:t>
      </w:r>
      <w:r>
        <w:rPr>
          <w:rFonts w:hint="eastAsia" w:ascii="宋体" w:hAnsi="宋体" w:cs="FangSong_GB2312-Identity-H"/>
          <w:color w:val="000000" w:themeColor="text1"/>
          <w:kern w:val="0"/>
          <w:szCs w:val="21"/>
          <w14:textFill>
            <w14:solidFill>
              <w14:schemeClr w14:val="tx1"/>
            </w14:solidFill>
          </w14:textFill>
        </w:rPr>
        <w:t>：</w:t>
      </w:r>
      <w:r>
        <w:rPr>
          <w:rFonts w:hint="eastAsia" w:ascii="宋体" w:hAnsi="宋体" w:cs="FangSong_GB2312-Identity-H"/>
          <w:color w:val="000000" w:themeColor="text1"/>
          <w:kern w:val="0"/>
          <w:szCs w:val="21"/>
          <w:u w:val="single"/>
          <w14:textFill>
            <w14:solidFill>
              <w14:schemeClr w14:val="tx1"/>
            </w14:solidFill>
          </w14:textFill>
        </w:rPr>
        <w:t xml:space="preserve">                    </w:t>
      </w:r>
      <w:r>
        <w:rPr>
          <w:rFonts w:hint="eastAsia" w:ascii="宋体" w:hAnsi="宋体" w:cs="FangSong_GB2312-Identity-H"/>
          <w:color w:val="000000" w:themeColor="text1"/>
          <w:kern w:val="0"/>
          <w:szCs w:val="21"/>
          <w14:textFill>
            <w14:solidFill>
              <w14:schemeClr w14:val="tx1"/>
            </w14:solidFill>
          </w14:textFill>
        </w:rPr>
        <w:t xml:space="preserve">          </w:t>
      </w:r>
    </w:p>
    <w:p w14:paraId="20E31367">
      <w:pPr>
        <w:autoSpaceDE w:val="0"/>
        <w:autoSpaceDN w:val="0"/>
        <w:adjustRightInd w:val="0"/>
        <w:spacing w:line="500" w:lineRule="exact"/>
        <w:jc w:val="left"/>
        <w:rPr>
          <w:rFonts w:ascii="宋体" w:hAnsi="宋体" w:cs="FangSong_GB2312-Identity-H"/>
          <w:color w:val="000000" w:themeColor="text1"/>
          <w:kern w:val="0"/>
          <w:szCs w:val="21"/>
          <w:u w:val="single"/>
          <w14:textFill>
            <w14:solidFill>
              <w14:schemeClr w14:val="tx1"/>
            </w14:solidFill>
          </w14:textFill>
        </w:rPr>
      </w:pPr>
      <w:r>
        <w:rPr>
          <w:color w:val="000000" w:themeColor="text1"/>
          <w:szCs w:val="21"/>
          <w:lang w:bidi="th-TH"/>
          <w14:textFill>
            <w14:solidFill>
              <w14:schemeClr w14:val="tx1"/>
            </w14:solidFill>
          </w14:textFill>
        </w:rPr>
        <w:t>法定代表人</w:t>
      </w:r>
      <w:r>
        <w:rPr>
          <w:rFonts w:hint="eastAsia"/>
          <w:color w:val="000000" w:themeColor="text1"/>
          <w:szCs w:val="21"/>
          <w:lang w:bidi="th-TH"/>
          <w14:textFill>
            <w14:solidFill>
              <w14:schemeClr w14:val="tx1"/>
            </w14:solidFill>
          </w14:textFill>
        </w:rPr>
        <w:t>或其授权委托人</w:t>
      </w:r>
      <w:r>
        <w:rPr>
          <w:color w:val="000000" w:themeColor="text1"/>
          <w:szCs w:val="21"/>
          <w:lang w:bidi="th-TH"/>
          <w14:textFill>
            <w14:solidFill>
              <w14:schemeClr w14:val="tx1"/>
            </w14:solidFill>
          </w14:textFill>
        </w:rPr>
        <w:t>（签字或盖章）</w:t>
      </w:r>
      <w:r>
        <w:rPr>
          <w:rFonts w:hint="eastAsia" w:ascii="宋体" w:hAnsi="宋体" w:cs="FangSong_GB2312-Identity-H"/>
          <w:color w:val="000000" w:themeColor="text1"/>
          <w:kern w:val="0"/>
          <w:szCs w:val="21"/>
          <w14:textFill>
            <w14:solidFill>
              <w14:schemeClr w14:val="tx1"/>
            </w14:solidFill>
          </w14:textFill>
        </w:rPr>
        <w:t>：</w:t>
      </w:r>
      <w:r>
        <w:rPr>
          <w:rFonts w:hint="eastAsia" w:ascii="宋体" w:hAnsi="宋体" w:cs="FangSong_GB2312-Identity-H"/>
          <w:color w:val="000000" w:themeColor="text1"/>
          <w:kern w:val="0"/>
          <w:szCs w:val="21"/>
          <w:u w:val="single"/>
          <w14:textFill>
            <w14:solidFill>
              <w14:schemeClr w14:val="tx1"/>
            </w14:solidFill>
          </w14:textFill>
        </w:rPr>
        <w:t xml:space="preserve">                </w:t>
      </w:r>
    </w:p>
    <w:p w14:paraId="426C09BE">
      <w:pPr>
        <w:autoSpaceDE w:val="0"/>
        <w:autoSpaceDN w:val="0"/>
        <w:adjustRightInd w:val="0"/>
        <w:spacing w:line="700" w:lineRule="exact"/>
        <w:ind w:right="630"/>
        <w:jc w:val="right"/>
        <w:rPr>
          <w:rFonts w:ascii="宋体" w:hAnsi="宋体" w:cs="FangSong_GB2312-Identity-H"/>
          <w:b/>
          <w:bCs/>
          <w:color w:val="000000" w:themeColor="text1"/>
          <w:kern w:val="0"/>
          <w:sz w:val="44"/>
          <w:szCs w:val="44"/>
          <w14:textFill>
            <w14:solidFill>
              <w14:schemeClr w14:val="tx1"/>
            </w14:solidFill>
          </w14:textFill>
        </w:rPr>
      </w:pPr>
      <w:r>
        <w:rPr>
          <w:rFonts w:hint="eastAsia" w:ascii="宋体" w:hAnsi="宋体" w:cs="FangSong_GB2312-Identity-H"/>
          <w:color w:val="000000" w:themeColor="text1"/>
          <w:kern w:val="0"/>
          <w:szCs w:val="21"/>
          <w14:textFill>
            <w14:solidFill>
              <w14:schemeClr w14:val="tx1"/>
            </w14:solidFill>
          </w14:textFill>
        </w:rPr>
        <w:t>日期：</w:t>
      </w:r>
      <w:r>
        <w:rPr>
          <w:rFonts w:ascii="宋体" w:hAnsi="宋体" w:cs="FangSong_GB2312-Identity-H"/>
          <w:color w:val="000000" w:themeColor="text1"/>
          <w:kern w:val="0"/>
          <w:szCs w:val="21"/>
          <w14:textFill>
            <w14:solidFill>
              <w14:schemeClr w14:val="tx1"/>
            </w14:solidFill>
          </w14:textFill>
        </w:rPr>
        <w:t xml:space="preserve"> </w:t>
      </w:r>
      <w:r>
        <w:rPr>
          <w:rFonts w:hint="eastAsia" w:ascii="宋体" w:hAnsi="宋体" w:cs="FangSong_GB2312-Identity-H"/>
          <w:color w:val="000000" w:themeColor="text1"/>
          <w:kern w:val="0"/>
          <w:szCs w:val="21"/>
          <w:u w:val="single"/>
          <w14:textFill>
            <w14:solidFill>
              <w14:schemeClr w14:val="tx1"/>
            </w14:solidFill>
          </w14:textFill>
        </w:rPr>
        <w:t xml:space="preserve">        </w:t>
      </w:r>
      <w:r>
        <w:rPr>
          <w:rFonts w:hint="eastAsia" w:ascii="宋体" w:hAnsi="宋体" w:cs="FangSong_GB2312-Identity-H"/>
          <w:color w:val="000000" w:themeColor="text1"/>
          <w:kern w:val="0"/>
          <w:szCs w:val="21"/>
          <w14:textFill>
            <w14:solidFill>
              <w14:schemeClr w14:val="tx1"/>
            </w14:solidFill>
          </w14:textFill>
        </w:rPr>
        <w:t>年</w:t>
      </w:r>
      <w:r>
        <w:rPr>
          <w:rFonts w:hint="eastAsia" w:ascii="宋体" w:hAnsi="宋体" w:cs="FangSong_GB2312-Identity-H"/>
          <w:color w:val="000000" w:themeColor="text1"/>
          <w:kern w:val="0"/>
          <w:szCs w:val="21"/>
          <w:u w:val="single"/>
          <w14:textFill>
            <w14:solidFill>
              <w14:schemeClr w14:val="tx1"/>
            </w14:solidFill>
          </w14:textFill>
        </w:rPr>
        <w:t xml:space="preserve">       </w:t>
      </w:r>
      <w:r>
        <w:rPr>
          <w:rFonts w:hint="eastAsia" w:ascii="宋体" w:hAnsi="宋体" w:cs="FangSong_GB2312-Identity-H"/>
          <w:color w:val="000000" w:themeColor="text1"/>
          <w:kern w:val="0"/>
          <w:szCs w:val="21"/>
          <w14:textFill>
            <w14:solidFill>
              <w14:schemeClr w14:val="tx1"/>
            </w14:solidFill>
          </w14:textFill>
        </w:rPr>
        <w:t>月</w:t>
      </w:r>
      <w:r>
        <w:rPr>
          <w:rFonts w:hint="eastAsia" w:ascii="宋体" w:hAnsi="宋体" w:cs="FangSong_GB2312-Identity-H"/>
          <w:color w:val="000000" w:themeColor="text1"/>
          <w:kern w:val="0"/>
          <w:szCs w:val="21"/>
          <w:u w:val="single"/>
          <w14:textFill>
            <w14:solidFill>
              <w14:schemeClr w14:val="tx1"/>
            </w14:solidFill>
          </w14:textFill>
        </w:rPr>
        <w:t xml:space="preserve">        </w:t>
      </w:r>
      <w:r>
        <w:rPr>
          <w:rFonts w:hint="eastAsia" w:ascii="宋体" w:hAnsi="宋体" w:cs="FangSong_GB2312-Identity-H"/>
          <w:color w:val="000000" w:themeColor="text1"/>
          <w:kern w:val="0"/>
          <w:szCs w:val="21"/>
          <w14:textFill>
            <w14:solidFill>
              <w14:schemeClr w14:val="tx1"/>
            </w14:solidFill>
          </w14:textFill>
        </w:rPr>
        <w:t>日</w:t>
      </w:r>
    </w:p>
    <w:p w14:paraId="45BEA81F">
      <w:pPr>
        <w:pStyle w:val="19"/>
        <w:rPr>
          <w:color w:val="000000" w:themeColor="text1"/>
          <w:lang w:bidi="th-TH"/>
          <w14:textFill>
            <w14:solidFill>
              <w14:schemeClr w14:val="tx1"/>
            </w14:solidFill>
          </w14:textFill>
        </w:rPr>
      </w:pPr>
    </w:p>
    <w:p w14:paraId="3E448EE5">
      <w:pPr>
        <w:widowControl/>
        <w:jc w:val="left"/>
        <w:rPr>
          <w:rFonts w:ascii="宋体" w:hAnsi="宋体"/>
          <w:b/>
          <w:bCs/>
          <w:color w:val="000000" w:themeColor="text1"/>
          <w:sz w:val="32"/>
          <w:szCs w:val="32"/>
          <w14:textFill>
            <w14:solidFill>
              <w14:schemeClr w14:val="tx1"/>
            </w14:solidFill>
          </w14:textFill>
        </w:rPr>
      </w:pPr>
      <w:r>
        <w:rPr>
          <w:rFonts w:hint="eastAsia"/>
          <w:color w:val="000000" w:themeColor="text1"/>
          <w:sz w:val="24"/>
          <w:lang w:bidi="th-TH"/>
          <w14:textFill>
            <w14:solidFill>
              <w14:schemeClr w14:val="tx1"/>
            </w14:solidFill>
          </w14:textFill>
        </w:rPr>
        <w:t>格式七：</w:t>
      </w:r>
    </w:p>
    <w:p w14:paraId="672AB4AA">
      <w:pPr>
        <w:autoSpaceDE w:val="0"/>
        <w:autoSpaceDN w:val="0"/>
        <w:adjustRightInd w:val="0"/>
        <w:spacing w:line="600" w:lineRule="exact"/>
        <w:jc w:val="center"/>
        <w:rPr>
          <w:rFonts w:ascii="宋体" w:hAnsi="宋体" w:cs="FangSong_GB2312-Identity-H"/>
          <w:b/>
          <w:bCs/>
          <w:color w:val="000000" w:themeColor="text1"/>
          <w:kern w:val="0"/>
          <w:sz w:val="44"/>
          <w:szCs w:val="44"/>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技术参数响应表</w:t>
      </w:r>
    </w:p>
    <w:p w14:paraId="6C61D6EA">
      <w:pPr>
        <w:autoSpaceDE w:val="0"/>
        <w:autoSpaceDN w:val="0"/>
        <w:adjustRightInd w:val="0"/>
        <w:spacing w:line="360" w:lineRule="exact"/>
        <w:jc w:val="center"/>
        <w:rPr>
          <w:rFonts w:ascii="宋体" w:hAnsi="宋体" w:cs="SimSun-Identity-H"/>
          <w:color w:val="000000" w:themeColor="text1"/>
          <w:kern w:val="0"/>
          <w:szCs w:val="21"/>
          <w14:textFill>
            <w14:solidFill>
              <w14:schemeClr w14:val="tx1"/>
            </w14:solidFill>
          </w14:textFill>
        </w:rPr>
      </w:pPr>
      <w:r>
        <w:rPr>
          <w:rFonts w:hint="eastAsia" w:ascii="宋体" w:hAnsi="宋体" w:cs="SimSun-Identity-H"/>
          <w:color w:val="000000" w:themeColor="text1"/>
          <w:kern w:val="0"/>
          <w:szCs w:val="21"/>
          <w14:textFill>
            <w14:solidFill>
              <w14:schemeClr w14:val="tx1"/>
            </w14:solidFill>
          </w14:textFill>
        </w:rPr>
        <w:t>（须与招标文件点对点应答）</w:t>
      </w:r>
    </w:p>
    <w:p w14:paraId="007EC433">
      <w:pPr>
        <w:autoSpaceDE w:val="0"/>
        <w:autoSpaceDN w:val="0"/>
        <w:adjustRightInd w:val="0"/>
        <w:spacing w:line="360" w:lineRule="exact"/>
        <w:jc w:val="left"/>
        <w:rPr>
          <w:rFonts w:ascii="宋体" w:hAnsi="宋体" w:cs="SimSun-Identity-H"/>
          <w:color w:val="000000" w:themeColor="text1"/>
          <w:kern w:val="0"/>
          <w:szCs w:val="21"/>
          <w14:textFill>
            <w14:solidFill>
              <w14:schemeClr w14:val="tx1"/>
            </w14:solidFill>
          </w14:textFill>
        </w:rPr>
      </w:pPr>
      <w:r>
        <w:rPr>
          <w:rFonts w:hint="eastAsia" w:ascii="宋体" w:hAnsi="宋体" w:cs="SimSun-Identity-H"/>
          <w:color w:val="000000" w:themeColor="text1"/>
          <w:kern w:val="0"/>
          <w:szCs w:val="21"/>
          <w14:textFill>
            <w14:solidFill>
              <w14:schemeClr w14:val="tx1"/>
            </w14:solidFill>
          </w14:textFill>
        </w:rPr>
        <w:t>项目名称：</w:t>
      </w:r>
    </w:p>
    <w:tbl>
      <w:tblPr>
        <w:tblStyle w:val="48"/>
        <w:tblW w:w="0" w:type="auto"/>
        <w:jc w:val="center"/>
        <w:tblLayout w:type="fixed"/>
        <w:tblCellMar>
          <w:top w:w="0" w:type="dxa"/>
          <w:left w:w="0" w:type="dxa"/>
          <w:bottom w:w="0" w:type="dxa"/>
          <w:right w:w="0" w:type="dxa"/>
        </w:tblCellMar>
      </w:tblPr>
      <w:tblGrid>
        <w:gridCol w:w="1098"/>
        <w:gridCol w:w="2915"/>
        <w:gridCol w:w="2396"/>
        <w:gridCol w:w="1876"/>
        <w:gridCol w:w="1260"/>
      </w:tblGrid>
      <w:tr w14:paraId="0C2184EF">
        <w:tblPrEx>
          <w:tblCellMar>
            <w:top w:w="0" w:type="dxa"/>
            <w:left w:w="0" w:type="dxa"/>
            <w:bottom w:w="0" w:type="dxa"/>
            <w:right w:w="0" w:type="dxa"/>
          </w:tblCellMar>
        </w:tblPrEx>
        <w:trPr>
          <w:trHeight w:val="529" w:hRule="exact"/>
          <w:jc w:val="center"/>
        </w:trPr>
        <w:tc>
          <w:tcPr>
            <w:tcW w:w="40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A398F4D">
            <w:pPr>
              <w:jc w:val="center"/>
              <w:rPr>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招标文件技术参数及要求</w:t>
            </w:r>
          </w:p>
        </w:tc>
        <w:tc>
          <w:tcPr>
            <w:tcW w:w="2396" w:type="dxa"/>
            <w:tcBorders>
              <w:top w:val="single" w:color="auto" w:sz="4" w:space="0"/>
              <w:left w:val="single" w:color="auto" w:sz="4" w:space="0"/>
              <w:bottom w:val="single" w:color="auto" w:sz="4" w:space="0"/>
              <w:right w:val="single" w:color="auto" w:sz="4" w:space="0"/>
            </w:tcBorders>
            <w:shd w:val="clear" w:color="auto" w:fill="FFFFFF"/>
            <w:vAlign w:val="center"/>
          </w:tcPr>
          <w:p w14:paraId="2D3B4E59">
            <w:pPr>
              <w:jc w:val="center"/>
              <w:rPr>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投标文件技术参数响应</w:t>
            </w:r>
          </w:p>
        </w:tc>
        <w:tc>
          <w:tcPr>
            <w:tcW w:w="1876" w:type="dxa"/>
            <w:tcBorders>
              <w:top w:val="single" w:color="auto" w:sz="4" w:space="0"/>
              <w:left w:val="single" w:color="auto" w:sz="4" w:space="0"/>
              <w:bottom w:val="single" w:color="auto" w:sz="4" w:space="0"/>
              <w:right w:val="single" w:color="auto" w:sz="4" w:space="0"/>
            </w:tcBorders>
            <w:shd w:val="clear" w:color="auto" w:fill="FFFFFF"/>
            <w:vAlign w:val="center"/>
          </w:tcPr>
          <w:p w14:paraId="57397559">
            <w:pPr>
              <w:ind w:right="340"/>
              <w:jc w:val="center"/>
              <w:rPr>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偏离</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14:paraId="5257C4B0">
            <w:pPr>
              <w:jc w:val="center"/>
              <w:rPr>
                <w:rFonts w:eastAsia="Times New Roman"/>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备注</w:t>
            </w:r>
          </w:p>
        </w:tc>
      </w:tr>
      <w:tr w14:paraId="25994A93">
        <w:tblPrEx>
          <w:tblCellMar>
            <w:top w:w="0" w:type="dxa"/>
            <w:left w:w="0" w:type="dxa"/>
            <w:bottom w:w="0" w:type="dxa"/>
            <w:right w:w="0" w:type="dxa"/>
          </w:tblCellMar>
        </w:tblPrEx>
        <w:trPr>
          <w:trHeight w:val="449" w:hRule="exact"/>
          <w:jc w:val="center"/>
        </w:trPr>
        <w:tc>
          <w:tcPr>
            <w:tcW w:w="1098" w:type="dxa"/>
            <w:vMerge w:val="restart"/>
            <w:tcBorders>
              <w:top w:val="single" w:color="auto" w:sz="4" w:space="0"/>
              <w:left w:val="single" w:color="auto" w:sz="4" w:space="0"/>
              <w:bottom w:val="nil"/>
              <w:right w:val="nil"/>
            </w:tcBorders>
            <w:shd w:val="clear" w:color="auto" w:fill="FFFFFF"/>
            <w:vAlign w:val="center"/>
          </w:tcPr>
          <w:p w14:paraId="7CF57500">
            <w:pPr>
              <w:jc w:val="center"/>
              <w:rPr>
                <w:rFonts w:eastAsia="Times New Roman"/>
                <w:color w:val="000000" w:themeColor="text1"/>
                <w:kern w:val="0"/>
                <w:szCs w:val="21"/>
                <w14:textFill>
                  <w14:solidFill>
                    <w14:schemeClr w14:val="tx1"/>
                  </w14:solidFill>
                </w14:textFill>
              </w:rPr>
            </w:pPr>
          </w:p>
        </w:tc>
        <w:tc>
          <w:tcPr>
            <w:tcW w:w="2915" w:type="dxa"/>
            <w:tcBorders>
              <w:top w:val="single" w:color="auto" w:sz="4" w:space="0"/>
              <w:left w:val="single" w:color="auto" w:sz="4" w:space="0"/>
              <w:bottom w:val="nil"/>
              <w:right w:val="nil"/>
            </w:tcBorders>
            <w:shd w:val="clear" w:color="auto" w:fill="FFFFFF"/>
            <w:vAlign w:val="center"/>
          </w:tcPr>
          <w:p w14:paraId="6F967955">
            <w:pPr>
              <w:rPr>
                <w:rFonts w:eastAsia="Times New Roman"/>
                <w:color w:val="000000" w:themeColor="text1"/>
                <w:kern w:val="0"/>
                <w:szCs w:val="21"/>
                <w14:textFill>
                  <w14:solidFill>
                    <w14:schemeClr w14:val="tx1"/>
                  </w14:solidFill>
                </w14:textFill>
              </w:rPr>
            </w:pPr>
          </w:p>
        </w:tc>
        <w:tc>
          <w:tcPr>
            <w:tcW w:w="2396" w:type="dxa"/>
            <w:tcBorders>
              <w:top w:val="single" w:color="auto" w:sz="4" w:space="0"/>
              <w:left w:val="single" w:color="auto" w:sz="4" w:space="0"/>
              <w:bottom w:val="nil"/>
              <w:right w:val="nil"/>
            </w:tcBorders>
            <w:shd w:val="clear" w:color="auto" w:fill="FFFFFF"/>
            <w:vAlign w:val="center"/>
          </w:tcPr>
          <w:p w14:paraId="7AB9A74A">
            <w:pPr>
              <w:jc w:val="center"/>
              <w:rPr>
                <w:color w:val="000000" w:themeColor="text1"/>
                <w:szCs w:val="21"/>
                <w14:textFill>
                  <w14:solidFill>
                    <w14:schemeClr w14:val="tx1"/>
                  </w14:solidFill>
                </w14:textFill>
              </w:rPr>
            </w:pPr>
          </w:p>
        </w:tc>
        <w:tc>
          <w:tcPr>
            <w:tcW w:w="1876" w:type="dxa"/>
            <w:tcBorders>
              <w:top w:val="single" w:color="auto" w:sz="4" w:space="0"/>
              <w:left w:val="single" w:color="auto" w:sz="4" w:space="0"/>
              <w:bottom w:val="nil"/>
              <w:right w:val="nil"/>
            </w:tcBorders>
            <w:shd w:val="clear" w:color="auto" w:fill="FFFFFF"/>
            <w:vAlign w:val="center"/>
          </w:tcPr>
          <w:p w14:paraId="3F53B400">
            <w:pPr>
              <w:jc w:val="center"/>
              <w:rPr>
                <w:color w:val="000000" w:themeColor="text1"/>
                <w:szCs w:val="21"/>
                <w14:textFill>
                  <w14:solidFill>
                    <w14:schemeClr w14:val="tx1"/>
                  </w14:solidFill>
                </w14:textFill>
              </w:rPr>
            </w:pPr>
          </w:p>
        </w:tc>
        <w:tc>
          <w:tcPr>
            <w:tcW w:w="1260" w:type="dxa"/>
            <w:tcBorders>
              <w:top w:val="single" w:color="auto" w:sz="4" w:space="0"/>
              <w:left w:val="single" w:color="auto" w:sz="4" w:space="0"/>
              <w:bottom w:val="nil"/>
              <w:right w:val="single" w:color="auto" w:sz="4" w:space="0"/>
            </w:tcBorders>
            <w:shd w:val="clear" w:color="auto" w:fill="FFFFFF"/>
            <w:vAlign w:val="center"/>
          </w:tcPr>
          <w:p w14:paraId="092D300E">
            <w:pPr>
              <w:jc w:val="center"/>
              <w:rPr>
                <w:color w:val="000000" w:themeColor="text1"/>
                <w:szCs w:val="21"/>
                <w14:textFill>
                  <w14:solidFill>
                    <w14:schemeClr w14:val="tx1"/>
                  </w14:solidFill>
                </w14:textFill>
              </w:rPr>
            </w:pPr>
          </w:p>
        </w:tc>
      </w:tr>
      <w:tr w14:paraId="77F74F30">
        <w:tblPrEx>
          <w:tblCellMar>
            <w:top w:w="0" w:type="dxa"/>
            <w:left w:w="0" w:type="dxa"/>
            <w:bottom w:w="0" w:type="dxa"/>
            <w:right w:w="0" w:type="dxa"/>
          </w:tblCellMar>
        </w:tblPrEx>
        <w:trPr>
          <w:trHeight w:val="449" w:hRule="exact"/>
          <w:jc w:val="center"/>
        </w:trPr>
        <w:tc>
          <w:tcPr>
            <w:tcW w:w="1098" w:type="dxa"/>
            <w:vMerge w:val="continue"/>
            <w:tcBorders>
              <w:top w:val="nil"/>
              <w:left w:val="single" w:color="auto" w:sz="4" w:space="0"/>
              <w:bottom w:val="nil"/>
              <w:right w:val="nil"/>
            </w:tcBorders>
            <w:shd w:val="clear" w:color="auto" w:fill="FFFFFF"/>
            <w:vAlign w:val="center"/>
          </w:tcPr>
          <w:p w14:paraId="04CEB9CE">
            <w:pPr>
              <w:jc w:val="center"/>
              <w:rPr>
                <w:color w:val="000000" w:themeColor="text1"/>
                <w:szCs w:val="21"/>
                <w14:textFill>
                  <w14:solidFill>
                    <w14:schemeClr w14:val="tx1"/>
                  </w14:solidFill>
                </w14:textFill>
              </w:rPr>
            </w:pPr>
          </w:p>
        </w:tc>
        <w:tc>
          <w:tcPr>
            <w:tcW w:w="2915" w:type="dxa"/>
            <w:tcBorders>
              <w:top w:val="single" w:color="auto" w:sz="4" w:space="0"/>
              <w:left w:val="single" w:color="auto" w:sz="4" w:space="0"/>
              <w:bottom w:val="nil"/>
              <w:right w:val="nil"/>
            </w:tcBorders>
            <w:shd w:val="clear" w:color="auto" w:fill="FFFFFF"/>
            <w:vAlign w:val="center"/>
          </w:tcPr>
          <w:p w14:paraId="09BAC37E">
            <w:pPr>
              <w:rPr>
                <w:rFonts w:eastAsia="Times New Roman"/>
                <w:color w:val="000000" w:themeColor="text1"/>
                <w:kern w:val="0"/>
                <w:szCs w:val="21"/>
                <w14:textFill>
                  <w14:solidFill>
                    <w14:schemeClr w14:val="tx1"/>
                  </w14:solidFill>
                </w14:textFill>
              </w:rPr>
            </w:pPr>
          </w:p>
        </w:tc>
        <w:tc>
          <w:tcPr>
            <w:tcW w:w="2396" w:type="dxa"/>
            <w:tcBorders>
              <w:top w:val="single" w:color="auto" w:sz="4" w:space="0"/>
              <w:left w:val="single" w:color="auto" w:sz="4" w:space="0"/>
              <w:bottom w:val="nil"/>
              <w:right w:val="nil"/>
            </w:tcBorders>
            <w:shd w:val="clear" w:color="auto" w:fill="FFFFFF"/>
            <w:vAlign w:val="center"/>
          </w:tcPr>
          <w:p w14:paraId="5CEA8054">
            <w:pPr>
              <w:jc w:val="center"/>
              <w:rPr>
                <w:color w:val="000000" w:themeColor="text1"/>
                <w:szCs w:val="21"/>
                <w14:textFill>
                  <w14:solidFill>
                    <w14:schemeClr w14:val="tx1"/>
                  </w14:solidFill>
                </w14:textFill>
              </w:rPr>
            </w:pPr>
          </w:p>
        </w:tc>
        <w:tc>
          <w:tcPr>
            <w:tcW w:w="1876" w:type="dxa"/>
            <w:tcBorders>
              <w:top w:val="single" w:color="auto" w:sz="4" w:space="0"/>
              <w:left w:val="single" w:color="auto" w:sz="4" w:space="0"/>
              <w:bottom w:val="nil"/>
              <w:right w:val="nil"/>
            </w:tcBorders>
            <w:shd w:val="clear" w:color="auto" w:fill="FFFFFF"/>
            <w:vAlign w:val="center"/>
          </w:tcPr>
          <w:p w14:paraId="2B4A0244">
            <w:pPr>
              <w:jc w:val="center"/>
              <w:rPr>
                <w:color w:val="000000" w:themeColor="text1"/>
                <w:szCs w:val="21"/>
                <w14:textFill>
                  <w14:solidFill>
                    <w14:schemeClr w14:val="tx1"/>
                  </w14:solidFill>
                </w14:textFill>
              </w:rPr>
            </w:pPr>
          </w:p>
        </w:tc>
        <w:tc>
          <w:tcPr>
            <w:tcW w:w="1260" w:type="dxa"/>
            <w:tcBorders>
              <w:top w:val="single" w:color="auto" w:sz="4" w:space="0"/>
              <w:left w:val="single" w:color="auto" w:sz="4" w:space="0"/>
              <w:bottom w:val="nil"/>
              <w:right w:val="single" w:color="auto" w:sz="4" w:space="0"/>
            </w:tcBorders>
            <w:shd w:val="clear" w:color="auto" w:fill="FFFFFF"/>
            <w:vAlign w:val="center"/>
          </w:tcPr>
          <w:p w14:paraId="5145A5D2">
            <w:pPr>
              <w:jc w:val="center"/>
              <w:rPr>
                <w:color w:val="000000" w:themeColor="text1"/>
                <w:szCs w:val="21"/>
                <w14:textFill>
                  <w14:solidFill>
                    <w14:schemeClr w14:val="tx1"/>
                  </w14:solidFill>
                </w14:textFill>
              </w:rPr>
            </w:pPr>
          </w:p>
        </w:tc>
      </w:tr>
      <w:tr w14:paraId="645616B4">
        <w:tblPrEx>
          <w:tblCellMar>
            <w:top w:w="0" w:type="dxa"/>
            <w:left w:w="0" w:type="dxa"/>
            <w:bottom w:w="0" w:type="dxa"/>
            <w:right w:w="0" w:type="dxa"/>
          </w:tblCellMar>
        </w:tblPrEx>
        <w:trPr>
          <w:trHeight w:val="442" w:hRule="exact"/>
          <w:jc w:val="center"/>
        </w:trPr>
        <w:tc>
          <w:tcPr>
            <w:tcW w:w="1098" w:type="dxa"/>
            <w:vMerge w:val="continue"/>
            <w:tcBorders>
              <w:top w:val="nil"/>
              <w:left w:val="single" w:color="auto" w:sz="4" w:space="0"/>
              <w:bottom w:val="nil"/>
              <w:right w:val="nil"/>
            </w:tcBorders>
            <w:shd w:val="clear" w:color="auto" w:fill="FFFFFF"/>
            <w:vAlign w:val="center"/>
          </w:tcPr>
          <w:p w14:paraId="65A5E5D6">
            <w:pPr>
              <w:jc w:val="center"/>
              <w:rPr>
                <w:color w:val="000000" w:themeColor="text1"/>
                <w:szCs w:val="21"/>
                <w14:textFill>
                  <w14:solidFill>
                    <w14:schemeClr w14:val="tx1"/>
                  </w14:solidFill>
                </w14:textFill>
              </w:rPr>
            </w:pPr>
          </w:p>
        </w:tc>
        <w:tc>
          <w:tcPr>
            <w:tcW w:w="2915" w:type="dxa"/>
            <w:tcBorders>
              <w:top w:val="single" w:color="auto" w:sz="4" w:space="0"/>
              <w:left w:val="single" w:color="auto" w:sz="4" w:space="0"/>
              <w:bottom w:val="single" w:color="auto" w:sz="4" w:space="0"/>
              <w:right w:val="nil"/>
            </w:tcBorders>
            <w:shd w:val="clear" w:color="auto" w:fill="FFFFFF"/>
            <w:vAlign w:val="center"/>
          </w:tcPr>
          <w:p w14:paraId="286F3742">
            <w:pPr>
              <w:rPr>
                <w:rFonts w:eastAsia="Times New Roman"/>
                <w:color w:val="000000" w:themeColor="text1"/>
                <w:kern w:val="0"/>
                <w:szCs w:val="21"/>
                <w14:textFill>
                  <w14:solidFill>
                    <w14:schemeClr w14:val="tx1"/>
                  </w14:solidFill>
                </w14:textFill>
              </w:rPr>
            </w:pPr>
          </w:p>
        </w:tc>
        <w:tc>
          <w:tcPr>
            <w:tcW w:w="2396" w:type="dxa"/>
            <w:tcBorders>
              <w:top w:val="single" w:color="auto" w:sz="4" w:space="0"/>
              <w:left w:val="single" w:color="auto" w:sz="4" w:space="0"/>
              <w:bottom w:val="single" w:color="auto" w:sz="4" w:space="0"/>
              <w:right w:val="nil"/>
            </w:tcBorders>
            <w:shd w:val="clear" w:color="auto" w:fill="FFFFFF"/>
            <w:vAlign w:val="center"/>
          </w:tcPr>
          <w:p w14:paraId="4DA7A3C3">
            <w:pPr>
              <w:jc w:val="center"/>
              <w:rPr>
                <w:color w:val="000000" w:themeColor="text1"/>
                <w:szCs w:val="21"/>
                <w14:textFill>
                  <w14:solidFill>
                    <w14:schemeClr w14:val="tx1"/>
                  </w14:solidFill>
                </w14:textFill>
              </w:rPr>
            </w:pPr>
          </w:p>
        </w:tc>
        <w:tc>
          <w:tcPr>
            <w:tcW w:w="1876" w:type="dxa"/>
            <w:tcBorders>
              <w:top w:val="single" w:color="auto" w:sz="4" w:space="0"/>
              <w:left w:val="single" w:color="auto" w:sz="4" w:space="0"/>
              <w:bottom w:val="single" w:color="auto" w:sz="4" w:space="0"/>
              <w:right w:val="nil"/>
            </w:tcBorders>
            <w:shd w:val="clear" w:color="auto" w:fill="FFFFFF"/>
            <w:vAlign w:val="center"/>
          </w:tcPr>
          <w:p w14:paraId="33423FF0">
            <w:pPr>
              <w:jc w:val="center"/>
              <w:rPr>
                <w:color w:val="000000" w:themeColor="text1"/>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14:paraId="0F9BBAB3">
            <w:pPr>
              <w:jc w:val="center"/>
              <w:rPr>
                <w:color w:val="000000" w:themeColor="text1"/>
                <w:szCs w:val="21"/>
                <w14:textFill>
                  <w14:solidFill>
                    <w14:schemeClr w14:val="tx1"/>
                  </w14:solidFill>
                </w14:textFill>
              </w:rPr>
            </w:pPr>
          </w:p>
        </w:tc>
      </w:tr>
      <w:tr w14:paraId="693A1914">
        <w:tblPrEx>
          <w:tblCellMar>
            <w:top w:w="0" w:type="dxa"/>
            <w:left w:w="0" w:type="dxa"/>
            <w:bottom w:w="0" w:type="dxa"/>
            <w:right w:w="0" w:type="dxa"/>
          </w:tblCellMar>
        </w:tblPrEx>
        <w:trPr>
          <w:trHeight w:val="442" w:hRule="exact"/>
          <w:jc w:val="center"/>
        </w:trPr>
        <w:tc>
          <w:tcPr>
            <w:tcW w:w="1098" w:type="dxa"/>
            <w:tcBorders>
              <w:top w:val="nil"/>
              <w:left w:val="single" w:color="auto" w:sz="4" w:space="0"/>
              <w:bottom w:val="single" w:color="auto" w:sz="4" w:space="0"/>
              <w:right w:val="nil"/>
            </w:tcBorders>
            <w:shd w:val="clear" w:color="auto" w:fill="FFFFFF"/>
            <w:vAlign w:val="center"/>
          </w:tcPr>
          <w:p w14:paraId="55B1E1A3">
            <w:pPr>
              <w:jc w:val="center"/>
              <w:rPr>
                <w:color w:val="000000" w:themeColor="text1"/>
                <w:szCs w:val="21"/>
                <w14:textFill>
                  <w14:solidFill>
                    <w14:schemeClr w14:val="tx1"/>
                  </w14:solidFill>
                </w14:textFill>
              </w:rPr>
            </w:pPr>
          </w:p>
        </w:tc>
        <w:tc>
          <w:tcPr>
            <w:tcW w:w="2915" w:type="dxa"/>
            <w:tcBorders>
              <w:top w:val="single" w:color="auto" w:sz="4" w:space="0"/>
              <w:left w:val="single" w:color="auto" w:sz="4" w:space="0"/>
              <w:bottom w:val="single" w:color="auto" w:sz="4" w:space="0"/>
              <w:right w:val="nil"/>
            </w:tcBorders>
            <w:shd w:val="clear" w:color="auto" w:fill="FFFFFF"/>
            <w:vAlign w:val="center"/>
          </w:tcPr>
          <w:p w14:paraId="242A19C9">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c>
          <w:tcPr>
            <w:tcW w:w="2396" w:type="dxa"/>
            <w:tcBorders>
              <w:top w:val="single" w:color="auto" w:sz="4" w:space="0"/>
              <w:left w:val="single" w:color="auto" w:sz="4" w:space="0"/>
              <w:bottom w:val="single" w:color="auto" w:sz="4" w:space="0"/>
              <w:right w:val="nil"/>
            </w:tcBorders>
            <w:shd w:val="clear" w:color="auto" w:fill="FFFFFF"/>
            <w:vAlign w:val="center"/>
          </w:tcPr>
          <w:p w14:paraId="7E2BF940">
            <w:pPr>
              <w:jc w:val="center"/>
              <w:rPr>
                <w:color w:val="000000" w:themeColor="text1"/>
                <w:szCs w:val="21"/>
                <w14:textFill>
                  <w14:solidFill>
                    <w14:schemeClr w14:val="tx1"/>
                  </w14:solidFill>
                </w14:textFill>
              </w:rPr>
            </w:pPr>
          </w:p>
        </w:tc>
        <w:tc>
          <w:tcPr>
            <w:tcW w:w="1876" w:type="dxa"/>
            <w:tcBorders>
              <w:top w:val="single" w:color="auto" w:sz="4" w:space="0"/>
              <w:left w:val="single" w:color="auto" w:sz="4" w:space="0"/>
              <w:bottom w:val="single" w:color="auto" w:sz="4" w:space="0"/>
              <w:right w:val="nil"/>
            </w:tcBorders>
            <w:shd w:val="clear" w:color="auto" w:fill="FFFFFF"/>
            <w:vAlign w:val="center"/>
          </w:tcPr>
          <w:p w14:paraId="78060628">
            <w:pPr>
              <w:jc w:val="center"/>
              <w:rPr>
                <w:color w:val="000000" w:themeColor="text1"/>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14:paraId="1A271AC1">
            <w:pPr>
              <w:jc w:val="center"/>
              <w:rPr>
                <w:color w:val="000000" w:themeColor="text1"/>
                <w:szCs w:val="21"/>
                <w14:textFill>
                  <w14:solidFill>
                    <w14:schemeClr w14:val="tx1"/>
                  </w14:solidFill>
                </w14:textFill>
              </w:rPr>
            </w:pPr>
          </w:p>
        </w:tc>
      </w:tr>
    </w:tbl>
    <w:p w14:paraId="74E11298">
      <w:pPr>
        <w:autoSpaceDE w:val="0"/>
        <w:autoSpaceDN w:val="0"/>
        <w:adjustRightInd w:val="0"/>
        <w:spacing w:line="700" w:lineRule="exact"/>
        <w:rPr>
          <w:rFonts w:hint="default" w:ascii="宋体" w:hAnsi="宋体" w:eastAsia="宋体" w:cs="SimSun-Identity-H"/>
          <w:color w:val="000000" w:themeColor="text1"/>
          <w:kern w:val="0"/>
          <w:szCs w:val="21"/>
          <w:lang w:val="en-US" w:eastAsia="zh-CN"/>
          <w14:textFill>
            <w14:solidFill>
              <w14:schemeClr w14:val="tx1"/>
            </w14:solidFill>
          </w14:textFill>
        </w:rPr>
      </w:pPr>
      <w:r>
        <w:rPr>
          <w:rFonts w:hint="eastAsia" w:ascii="宋体" w:hAnsi="宋体" w:cs="SimSun-Identity-H"/>
          <w:color w:val="000000" w:themeColor="text1"/>
          <w:kern w:val="0"/>
          <w:szCs w:val="21"/>
          <w14:textFill>
            <w14:solidFill>
              <w14:schemeClr w14:val="tx1"/>
            </w14:solidFill>
          </w14:textFill>
        </w:rPr>
        <w:t>注：</w:t>
      </w:r>
      <w:r>
        <w:rPr>
          <w:rFonts w:hint="eastAsia" w:ascii="宋体" w:hAnsi="宋体" w:cs="SimSun-Identity-H"/>
          <w:color w:val="000000" w:themeColor="text1"/>
          <w:kern w:val="0"/>
          <w:szCs w:val="21"/>
          <w:lang w:val="en-US" w:eastAsia="zh-CN"/>
          <w14:textFill>
            <w14:solidFill>
              <w14:schemeClr w14:val="tx1"/>
            </w14:solidFill>
          </w14:textFill>
        </w:rPr>
        <w:t>技术参数有偏离的在表中填写，无偏离无需填写此表</w:t>
      </w:r>
      <w:r>
        <w:rPr>
          <w:rFonts w:hint="eastAsia" w:ascii="宋体" w:hAnsi="宋体" w:cs="SimSun-Identity-H"/>
          <w:color w:val="000000" w:themeColor="text1"/>
          <w:kern w:val="0"/>
          <w:szCs w:val="21"/>
          <w14:textFill>
            <w14:solidFill>
              <w14:schemeClr w14:val="tx1"/>
            </w14:solidFill>
          </w14:textFill>
        </w:rPr>
        <w:t>。</w:t>
      </w:r>
    </w:p>
    <w:p w14:paraId="7993347F">
      <w:pPr>
        <w:pStyle w:val="19"/>
        <w:rPr>
          <w:color w:val="000000" w:themeColor="text1"/>
          <w14:textFill>
            <w14:solidFill>
              <w14:schemeClr w14:val="tx1"/>
            </w14:solidFill>
          </w14:textFill>
        </w:rPr>
      </w:pPr>
    </w:p>
    <w:p w14:paraId="1F51DFE7">
      <w:pPr>
        <w:rPr>
          <w:color w:val="000000" w:themeColor="text1"/>
          <w14:textFill>
            <w14:solidFill>
              <w14:schemeClr w14:val="tx1"/>
            </w14:solidFill>
          </w14:textFill>
        </w:rPr>
      </w:pPr>
    </w:p>
    <w:p w14:paraId="23076CD3">
      <w:pPr>
        <w:autoSpaceDE w:val="0"/>
        <w:autoSpaceDN w:val="0"/>
        <w:adjustRightInd w:val="0"/>
        <w:spacing w:line="500" w:lineRule="exact"/>
        <w:jc w:val="left"/>
        <w:rPr>
          <w:rFonts w:ascii="宋体" w:hAnsi="宋体" w:cs="FangSong_GB2312-Identity-H"/>
          <w:color w:val="000000" w:themeColor="text1"/>
          <w:kern w:val="0"/>
          <w:szCs w:val="21"/>
          <w:u w:val="single"/>
          <w14:textFill>
            <w14:solidFill>
              <w14:schemeClr w14:val="tx1"/>
            </w14:solidFill>
          </w14:textFill>
        </w:rPr>
      </w:pPr>
      <w:r>
        <w:rPr>
          <w:rFonts w:hint="eastAsia" w:ascii="宋体" w:hAnsi="宋体" w:cs="FangSong_GB2312-Identity-H"/>
          <w:color w:val="000000" w:themeColor="text1"/>
          <w:kern w:val="0"/>
          <w:szCs w:val="21"/>
          <w14:textFill>
            <w14:solidFill>
              <w14:schemeClr w14:val="tx1"/>
            </w14:solidFill>
          </w14:textFill>
        </w:rPr>
        <w:t>投标人</w:t>
      </w:r>
      <w:r>
        <w:rPr>
          <w:rFonts w:ascii="宋体" w:hAnsi="宋体" w:cs="FangSong_GB2312-Identity-H"/>
          <w:color w:val="000000" w:themeColor="text1"/>
          <w:kern w:val="0"/>
          <w:szCs w:val="21"/>
          <w14:textFill>
            <w14:solidFill>
              <w14:schemeClr w14:val="tx1"/>
            </w14:solidFill>
          </w14:textFill>
        </w:rPr>
        <w:t>(</w:t>
      </w:r>
      <w:r>
        <w:rPr>
          <w:rFonts w:hint="eastAsia" w:ascii="宋体" w:hAnsi="宋体" w:cs="FangSong_GB2312-Identity-H"/>
          <w:color w:val="000000" w:themeColor="text1"/>
          <w:kern w:val="0"/>
          <w:szCs w:val="21"/>
          <w14:textFill>
            <w14:solidFill>
              <w14:schemeClr w14:val="tx1"/>
            </w14:solidFill>
          </w14:textFill>
        </w:rPr>
        <w:t>公章</w:t>
      </w:r>
      <w:r>
        <w:rPr>
          <w:rFonts w:ascii="宋体" w:hAnsi="宋体" w:cs="FangSong_GB2312-Identity-H"/>
          <w:color w:val="000000" w:themeColor="text1"/>
          <w:kern w:val="0"/>
          <w:szCs w:val="21"/>
          <w14:textFill>
            <w14:solidFill>
              <w14:schemeClr w14:val="tx1"/>
            </w14:solidFill>
          </w14:textFill>
        </w:rPr>
        <w:t xml:space="preserve">) </w:t>
      </w:r>
      <w:r>
        <w:rPr>
          <w:rFonts w:hint="eastAsia" w:ascii="宋体" w:hAnsi="宋体" w:cs="FangSong_GB2312-Identity-H"/>
          <w:color w:val="000000" w:themeColor="text1"/>
          <w:kern w:val="0"/>
          <w:szCs w:val="21"/>
          <w14:textFill>
            <w14:solidFill>
              <w14:schemeClr w14:val="tx1"/>
            </w14:solidFill>
          </w14:textFill>
        </w:rPr>
        <w:t>：</w:t>
      </w:r>
      <w:r>
        <w:rPr>
          <w:rFonts w:hint="eastAsia" w:ascii="宋体" w:hAnsi="宋体" w:cs="FangSong_GB2312-Identity-H"/>
          <w:color w:val="000000" w:themeColor="text1"/>
          <w:kern w:val="0"/>
          <w:szCs w:val="21"/>
          <w:u w:val="single"/>
          <w14:textFill>
            <w14:solidFill>
              <w14:schemeClr w14:val="tx1"/>
            </w14:solidFill>
          </w14:textFill>
        </w:rPr>
        <w:t xml:space="preserve">                          </w:t>
      </w:r>
    </w:p>
    <w:p w14:paraId="6EE68E33">
      <w:pPr>
        <w:autoSpaceDE w:val="0"/>
        <w:autoSpaceDN w:val="0"/>
        <w:adjustRightInd w:val="0"/>
        <w:spacing w:line="500" w:lineRule="exact"/>
        <w:jc w:val="left"/>
        <w:rPr>
          <w:rFonts w:ascii="宋体" w:hAnsi="宋体" w:cs="FangSong_GB2312-Identity-H"/>
          <w:color w:val="000000" w:themeColor="text1"/>
          <w:kern w:val="0"/>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法定代表人或其授权委托人（签字或盖章）：</w:t>
      </w:r>
      <w:r>
        <w:rPr>
          <w:rFonts w:hint="eastAsia" w:ascii="宋体" w:hAnsi="宋体" w:cs="FangSong_GB2312-Identity-H"/>
          <w:color w:val="000000" w:themeColor="text1"/>
          <w:kern w:val="0"/>
          <w:szCs w:val="21"/>
          <w:u w:val="single"/>
          <w14:textFill>
            <w14:solidFill>
              <w14:schemeClr w14:val="tx1"/>
            </w14:solidFill>
          </w14:textFill>
        </w:rPr>
        <w:t xml:space="preserve">                        </w:t>
      </w:r>
    </w:p>
    <w:p w14:paraId="1DEA3989">
      <w:pPr>
        <w:pStyle w:val="19"/>
        <w:rPr>
          <w:color w:val="000000" w:themeColor="text1"/>
          <w14:textFill>
            <w14:solidFill>
              <w14:schemeClr w14:val="tx1"/>
            </w14:solidFill>
          </w14:textFill>
        </w:rPr>
      </w:pPr>
    </w:p>
    <w:p w14:paraId="3DADEBC0">
      <w:pPr>
        <w:widowControl/>
        <w:jc w:val="left"/>
        <w:rPr>
          <w:color w:val="000000" w:themeColor="text1"/>
          <w:sz w:val="24"/>
          <w14:textFill>
            <w14:solidFill>
              <w14:schemeClr w14:val="tx1"/>
            </w14:solidFill>
          </w14:textFill>
        </w:rPr>
      </w:pPr>
      <w:r>
        <w:rPr>
          <w:rFonts w:hint="eastAsia" w:ascii="宋体" w:hAnsi="宋体" w:cs="FangSong_GB2312-Identity-H"/>
          <w:color w:val="000000" w:themeColor="text1"/>
          <w:kern w:val="0"/>
          <w:szCs w:val="21"/>
          <w14:textFill>
            <w14:solidFill>
              <w14:schemeClr w14:val="tx1"/>
            </w14:solidFill>
          </w14:textFill>
        </w:rPr>
        <w:t>日期：</w:t>
      </w:r>
      <w:r>
        <w:rPr>
          <w:rFonts w:ascii="宋体" w:hAnsi="宋体" w:cs="FangSong_GB2312-Identity-H"/>
          <w:color w:val="000000" w:themeColor="text1"/>
          <w:kern w:val="0"/>
          <w:szCs w:val="21"/>
          <w14:textFill>
            <w14:solidFill>
              <w14:schemeClr w14:val="tx1"/>
            </w14:solidFill>
          </w14:textFill>
        </w:rPr>
        <w:t xml:space="preserve"> </w:t>
      </w:r>
      <w:r>
        <w:rPr>
          <w:rFonts w:hint="eastAsia" w:ascii="宋体" w:hAnsi="宋体" w:cs="FangSong_GB2312-Identity-H"/>
          <w:color w:val="000000" w:themeColor="text1"/>
          <w:kern w:val="0"/>
          <w:szCs w:val="21"/>
          <w:u w:val="single"/>
          <w14:textFill>
            <w14:solidFill>
              <w14:schemeClr w14:val="tx1"/>
            </w14:solidFill>
          </w14:textFill>
        </w:rPr>
        <w:t xml:space="preserve">         </w:t>
      </w:r>
      <w:r>
        <w:rPr>
          <w:rFonts w:hint="eastAsia" w:ascii="宋体" w:hAnsi="宋体" w:cs="FangSong_GB2312-Identity-H"/>
          <w:color w:val="000000" w:themeColor="text1"/>
          <w:kern w:val="0"/>
          <w:szCs w:val="21"/>
          <w14:textFill>
            <w14:solidFill>
              <w14:schemeClr w14:val="tx1"/>
            </w14:solidFill>
          </w14:textFill>
        </w:rPr>
        <w:t>年</w:t>
      </w:r>
      <w:r>
        <w:rPr>
          <w:rFonts w:hint="eastAsia" w:ascii="宋体" w:hAnsi="宋体" w:cs="FangSong_GB2312-Identity-H"/>
          <w:color w:val="000000" w:themeColor="text1"/>
          <w:kern w:val="0"/>
          <w:szCs w:val="21"/>
          <w:u w:val="single"/>
          <w14:textFill>
            <w14:solidFill>
              <w14:schemeClr w14:val="tx1"/>
            </w14:solidFill>
          </w14:textFill>
        </w:rPr>
        <w:t xml:space="preserve">        </w:t>
      </w:r>
      <w:r>
        <w:rPr>
          <w:rFonts w:hint="eastAsia" w:ascii="宋体" w:hAnsi="宋体" w:cs="FangSong_GB2312-Identity-H"/>
          <w:color w:val="000000" w:themeColor="text1"/>
          <w:kern w:val="0"/>
          <w:szCs w:val="21"/>
          <w14:textFill>
            <w14:solidFill>
              <w14:schemeClr w14:val="tx1"/>
            </w14:solidFill>
          </w14:textFill>
        </w:rPr>
        <w:t>月</w:t>
      </w:r>
      <w:r>
        <w:rPr>
          <w:rFonts w:hint="eastAsia" w:ascii="宋体" w:hAnsi="宋体" w:cs="FangSong_GB2312-Identity-H"/>
          <w:color w:val="000000" w:themeColor="text1"/>
          <w:kern w:val="0"/>
          <w:szCs w:val="21"/>
          <w:u w:val="single"/>
          <w14:textFill>
            <w14:solidFill>
              <w14:schemeClr w14:val="tx1"/>
            </w14:solidFill>
          </w14:textFill>
        </w:rPr>
        <w:t xml:space="preserve">         </w:t>
      </w:r>
      <w:r>
        <w:rPr>
          <w:rFonts w:hint="eastAsia" w:ascii="宋体" w:hAnsi="宋体" w:cs="FangSong_GB2312-Identity-H"/>
          <w:color w:val="000000" w:themeColor="text1"/>
          <w:kern w:val="0"/>
          <w:szCs w:val="21"/>
          <w14:textFill>
            <w14:solidFill>
              <w14:schemeClr w14:val="tx1"/>
            </w14:solidFill>
          </w14:textFill>
        </w:rPr>
        <w:t>日</w:t>
      </w:r>
      <w:r>
        <w:rPr>
          <w:color w:val="000000" w:themeColor="text1"/>
          <w:sz w:val="24"/>
          <w14:textFill>
            <w14:solidFill>
              <w14:schemeClr w14:val="tx1"/>
            </w14:solidFill>
          </w14:textFill>
        </w:rPr>
        <w:br w:type="page"/>
      </w:r>
    </w:p>
    <w:p w14:paraId="5439FA51">
      <w:pPr>
        <w:spacing w:line="440" w:lineRule="exact"/>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格式</w:t>
      </w:r>
      <w:r>
        <w:rPr>
          <w:rFonts w:hint="eastAsia"/>
          <w:color w:val="000000" w:themeColor="text1"/>
          <w:sz w:val="24"/>
          <w14:textFill>
            <w14:solidFill>
              <w14:schemeClr w14:val="tx1"/>
            </w14:solidFill>
          </w14:textFill>
        </w:rPr>
        <w:t>八</w:t>
      </w:r>
      <w:r>
        <w:rPr>
          <w:color w:val="000000" w:themeColor="text1"/>
          <w:sz w:val="24"/>
          <w14:textFill>
            <w14:solidFill>
              <w14:schemeClr w14:val="tx1"/>
            </w14:solidFill>
          </w14:textFill>
        </w:rPr>
        <w:t>：</w:t>
      </w:r>
    </w:p>
    <w:p w14:paraId="4F44DFE6">
      <w:pPr>
        <w:jc w:val="center"/>
        <w:rPr>
          <w:b/>
          <w:bCs/>
          <w:color w:val="000000" w:themeColor="text1"/>
          <w:sz w:val="44"/>
          <w:szCs w:val="44"/>
          <w14:textFill>
            <w14:solidFill>
              <w14:schemeClr w14:val="tx1"/>
            </w14:solidFill>
          </w14:textFill>
        </w:rPr>
      </w:pPr>
    </w:p>
    <w:p w14:paraId="204E58AB">
      <w:pPr>
        <w:jc w:val="center"/>
        <w:outlineLvl w:val="1"/>
        <w:rPr>
          <w:b/>
          <w:bCs/>
          <w:color w:val="000000" w:themeColor="text1"/>
          <w:sz w:val="44"/>
          <w:szCs w:val="44"/>
          <w14:textFill>
            <w14:solidFill>
              <w14:schemeClr w14:val="tx1"/>
            </w14:solidFill>
          </w14:textFill>
        </w:rPr>
      </w:pPr>
      <w:r>
        <w:rPr>
          <w:b/>
          <w:bCs/>
          <w:color w:val="000000" w:themeColor="text1"/>
          <w:sz w:val="44"/>
          <w:szCs w:val="44"/>
          <w14:textFill>
            <w14:solidFill>
              <w14:schemeClr w14:val="tx1"/>
            </w14:solidFill>
          </w14:textFill>
        </w:rPr>
        <w:t>盐城市大丰区招标采购供应商承诺书</w:t>
      </w:r>
    </w:p>
    <w:p w14:paraId="78AC50FD">
      <w:pPr>
        <w:spacing w:line="400" w:lineRule="exact"/>
        <w:ind w:firstLine="600" w:firstLineChars="200"/>
        <w:rPr>
          <w:color w:val="000000" w:themeColor="text1"/>
          <w:sz w:val="30"/>
          <w:szCs w:val="30"/>
          <w14:textFill>
            <w14:solidFill>
              <w14:schemeClr w14:val="tx1"/>
            </w14:solidFill>
          </w14:textFill>
        </w:rPr>
      </w:pPr>
    </w:p>
    <w:p w14:paraId="05ABF4F2">
      <w:pPr>
        <w:spacing w:line="4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为营造公开、公平、公正、诚实守信的招标采购交易环境，树立诚信守法的投标人形象，本单位参加招标采购项目</w:t>
      </w:r>
      <w:r>
        <w:rPr>
          <w:rFonts w:ascii="宋体" w:hAnsi="宋体"/>
          <w:color w:val="000000" w:themeColor="text1"/>
          <w:sz w:val="24"/>
          <w:u w:val="none"/>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none"/>
          <w14:textFill>
            <w14:solidFill>
              <w14:schemeClr w14:val="tx1"/>
            </w14:solidFill>
          </w14:textFill>
        </w:rPr>
        <w:t xml:space="preserve"> </w:t>
      </w:r>
      <w:r>
        <w:rPr>
          <w:rFonts w:ascii="宋体" w:hAnsi="宋体"/>
          <w:color w:val="000000" w:themeColor="text1"/>
          <w:sz w:val="24"/>
          <w14:textFill>
            <w14:solidFill>
              <w14:schemeClr w14:val="tx1"/>
            </w14:solidFill>
          </w14:textFill>
        </w:rPr>
        <w:t>的招标采购活动，本人代表本单位作出以下承诺：</w:t>
      </w:r>
    </w:p>
    <w:p w14:paraId="30E0A548">
      <w:pPr>
        <w:spacing w:line="4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35318BEE">
      <w:pPr>
        <w:spacing w:line="4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（二）本单位无涉及招标采购活动的违法、违规不良记录，我公司及相关负责人无因存在重大隐患整改不力、发生有重大社会影响生产安全事故或其他严重违法违规行为而被列入失信联合惩戒的不良记录；</w:t>
      </w:r>
    </w:p>
    <w:p w14:paraId="48D1FBF5">
      <w:pPr>
        <w:spacing w:line="4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（三）严格依照国家和省、市关于招标采购的法律、法规、规章、规范性文件参加招标采购的投标活动；积极履行社会责任，促进廉政建设； </w:t>
      </w:r>
    </w:p>
    <w:p w14:paraId="3ABBBF52">
      <w:pPr>
        <w:spacing w:line="46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（四）严格遵守即时信息公示规定，及时维护和更新盐城市</w:t>
      </w:r>
      <w:r>
        <w:rPr>
          <w:rFonts w:hint="eastAsia" w:ascii="宋体" w:hAnsi="宋体"/>
          <w:color w:val="000000" w:themeColor="text1"/>
          <w:sz w:val="24"/>
          <w14:textFill>
            <w14:solidFill>
              <w14:schemeClr w14:val="tx1"/>
            </w14:solidFill>
          </w14:textFill>
        </w:rPr>
        <w:t>大丰区</w:t>
      </w:r>
      <w:r>
        <w:rPr>
          <w:rFonts w:ascii="宋体" w:hAnsi="宋体"/>
          <w:color w:val="000000" w:themeColor="text1"/>
          <w:sz w:val="24"/>
          <w14:textFill>
            <w14:solidFill>
              <w14:schemeClr w14:val="tx1"/>
            </w14:solidFill>
          </w14:textFill>
        </w:rPr>
        <w:t>公共资源交易平台中与本单位相关的信息；</w:t>
      </w:r>
    </w:p>
    <w:p w14:paraId="4FA7740C">
      <w:pPr>
        <w:spacing w:line="460" w:lineRule="exact"/>
        <w:ind w:firstLine="367"/>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五）自我约束、自我管理，守合同、重信用，自觉维护招标采购交易的良好秩序，与参与本次招标采购活动的其他供应商不存在直接控股或管理关系，不参与围标串标、弄虚作假、骗取中标、干扰评标、违约毁约等行为；</w:t>
      </w:r>
    </w:p>
    <w:p w14:paraId="661BC03B">
      <w:pPr>
        <w:spacing w:line="460" w:lineRule="exact"/>
        <w:ind w:firstLine="367"/>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（六）自觉接受政府、行业组织、社会公众、新闻舆论的监督；</w:t>
      </w:r>
    </w:p>
    <w:p w14:paraId="51AA8966">
      <w:pPr>
        <w:spacing w:line="460" w:lineRule="exact"/>
        <w:ind w:firstLine="367"/>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（七）本单位自愿接受监督管理机构和有关行政监督部门的依法检查。如发生违法违规或不良失信行为，自愿接受监督管理机构和有关行政监督部门依法给予的行政处罚（处理），并依法承担相应责任；</w:t>
      </w:r>
    </w:p>
    <w:p w14:paraId="1665F276">
      <w:pPr>
        <w:spacing w:line="460" w:lineRule="exact"/>
        <w:ind w:firstLine="367"/>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（八）本人已认真阅读了上述承诺，并向本单位员工作了宣传教育。</w:t>
      </w:r>
    </w:p>
    <w:p w14:paraId="60135BA0">
      <w:pPr>
        <w:pStyle w:val="19"/>
        <w:rPr>
          <w:color w:val="000000" w:themeColor="text1"/>
          <w14:textFill>
            <w14:solidFill>
              <w14:schemeClr w14:val="tx1"/>
            </w14:solidFill>
          </w14:textFill>
        </w:rPr>
      </w:pPr>
    </w:p>
    <w:p w14:paraId="61AF0342">
      <w:pPr>
        <w:spacing w:line="340" w:lineRule="exact"/>
        <w:ind w:firstLine="480" w:firstLineChars="200"/>
        <w:rPr>
          <w:rFonts w:ascii="宋体" w:hAnsi="宋体"/>
          <w:color w:val="000000" w:themeColor="text1"/>
          <w:sz w:val="24"/>
          <w14:textFill>
            <w14:solidFill>
              <w14:schemeClr w14:val="tx1"/>
            </w14:solidFill>
          </w14:textFill>
        </w:rPr>
      </w:pPr>
    </w:p>
    <w:p w14:paraId="121CD7AA">
      <w:pPr>
        <w:spacing w:line="3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ascii="宋体" w:hAnsi="宋体"/>
          <w:color w:val="000000" w:themeColor="text1"/>
          <w:sz w:val="24"/>
          <w14:textFill>
            <w14:solidFill>
              <w14:schemeClr w14:val="tx1"/>
            </w14:solidFill>
          </w14:textFill>
        </w:rPr>
        <w:t xml:space="preserve">签名：           </w:t>
      </w:r>
    </w:p>
    <w:p w14:paraId="778A62AE">
      <w:pPr>
        <w:spacing w:line="340" w:lineRule="exact"/>
        <w:ind w:firstLine="480" w:firstLineChars="200"/>
        <w:rPr>
          <w:rFonts w:ascii="宋体" w:hAnsi="宋体"/>
          <w:color w:val="000000" w:themeColor="text1"/>
          <w:sz w:val="24"/>
          <w14:textFill>
            <w14:solidFill>
              <w14:schemeClr w14:val="tx1"/>
            </w14:solidFill>
          </w14:textFill>
        </w:rPr>
      </w:pPr>
    </w:p>
    <w:p w14:paraId="12F8A9D2">
      <w:pPr>
        <w:spacing w:line="3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单位名称（盖章）：</w:t>
      </w:r>
    </w:p>
    <w:p w14:paraId="3FFC5C5B">
      <w:pPr>
        <w:pStyle w:val="26"/>
        <w:snapToGrid w:val="0"/>
        <w:spacing w:line="480" w:lineRule="exact"/>
        <w:jc w:val="right"/>
        <w:rPr>
          <w:color w:val="000000" w:themeColor="text1"/>
          <w14:textFill>
            <w14:solidFill>
              <w14:schemeClr w14:val="tx1"/>
            </w14:solidFill>
          </w14:textFill>
        </w:rPr>
      </w:pPr>
      <w:r>
        <w:rPr>
          <w:rFonts w:hAnsi="宋体"/>
          <w:color w:val="000000" w:themeColor="text1"/>
          <w:sz w:val="24"/>
          <w:szCs w:val="24"/>
          <w14:textFill>
            <w14:solidFill>
              <w14:schemeClr w14:val="tx1"/>
            </w14:solidFill>
          </w14:textFill>
        </w:rPr>
        <w:t>年    月    日</w:t>
      </w:r>
    </w:p>
    <w:sectPr>
      <w:headerReference r:id="rId8" w:type="default"/>
      <w:footerReference r:id="rId9"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华文细黑">
    <w:panose1 w:val="02010600040101010101"/>
    <w:charset w:val="86"/>
    <w:family w:val="auto"/>
    <w:pitch w:val="default"/>
    <w:sig w:usb0="00000287" w:usb1="080F0000" w:usb2="00000000" w:usb3="00000000" w:csb0="0004009F" w:csb1="DFD70000"/>
  </w:font>
  <w:font w:name="Impact">
    <w:panose1 w:val="020B0806030902050204"/>
    <w:charset w:val="00"/>
    <w:family w:val="swiss"/>
    <w:pitch w:val="default"/>
    <w:sig w:usb0="00000287" w:usb1="00000000" w:usb2="00000000" w:usb3="00000000" w:csb0="2000009F" w:csb1="DFD7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E-F1">
    <w:altName w:val="Malgun Gothic"/>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00"/>
    <w:family w:val="roman"/>
    <w:pitch w:val="default"/>
    <w:sig w:usb0="00000000" w:usb1="00000000" w:usb2="00000010"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3BFD6">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63B49">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3533140</wp:posOffset>
              </wp:positionH>
              <wp:positionV relativeFrom="page">
                <wp:posOffset>9797415</wp:posOffset>
              </wp:positionV>
              <wp:extent cx="103505" cy="73025"/>
              <wp:effectExtent l="0" t="0" r="0" b="0"/>
              <wp:wrapNone/>
              <wp:docPr id="2" name="Shape 7"/>
              <wp:cNvGraphicFramePr/>
              <a:graphic xmlns:a="http://schemas.openxmlformats.org/drawingml/2006/main">
                <a:graphicData uri="http://schemas.microsoft.com/office/word/2010/wordprocessingShape">
                  <wps:wsp>
                    <wps:cNvSpPr txBox="1"/>
                    <wps:spPr>
                      <a:xfrm>
                        <a:off x="0" y="0"/>
                        <a:ext cx="103505" cy="73025"/>
                      </a:xfrm>
                      <a:prstGeom prst="rect">
                        <a:avLst/>
                      </a:prstGeom>
                      <a:noFill/>
                      <a:ln>
                        <a:noFill/>
                      </a:ln>
                      <a:effectLst/>
                    </wps:spPr>
                    <wps:txbx>
                      <w:txbxContent>
                        <w:p w14:paraId="293D2B8A">
                          <w:pPr>
                            <w:pStyle w:val="196"/>
                            <w:rPr>
                              <w:sz w:val="16"/>
                              <w:szCs w:val="16"/>
                            </w:rPr>
                          </w:pPr>
                          <w:r>
                            <w:rPr>
                              <w:rFonts w:eastAsia="Times New Roman"/>
                              <w:color w:val="000000"/>
                              <w:sz w:val="16"/>
                              <w:szCs w:val="16"/>
                              <w:lang w:eastAsia="en-US" w:bidi="en-US"/>
                            </w:rPr>
                            <w:t>-</w:t>
                          </w:r>
                          <w:r>
                            <w:fldChar w:fldCharType="begin"/>
                          </w:r>
                          <w:r>
                            <w:instrText xml:space="preserve"> PAGE \* MERGEFORMAT </w:instrText>
                          </w:r>
                          <w:r>
                            <w:fldChar w:fldCharType="separate"/>
                          </w:r>
                          <w:r>
                            <w:rPr>
                              <w:sz w:val="16"/>
                              <w:szCs w:val="16"/>
                            </w:rPr>
                            <w:t>6</w:t>
                          </w:r>
                          <w:r>
                            <w:rPr>
                              <w:sz w:val="16"/>
                              <w:szCs w:val="16"/>
                            </w:rPr>
                            <w:fldChar w:fldCharType="end"/>
                          </w:r>
                          <w:r>
                            <w:rPr>
                              <w:rFonts w:eastAsia="Times New Roman"/>
                              <w:color w:val="000000"/>
                              <w:sz w:val="16"/>
                              <w:szCs w:val="16"/>
                              <w:lang w:val="zh-CN" w:bidi="zh-CN"/>
                            </w:rPr>
                            <w:t>-</w:t>
                          </w:r>
                        </w:p>
                      </w:txbxContent>
                    </wps:txbx>
                    <wps:bodyPr wrap="none" lIns="0" tIns="0" rIns="0" bIns="0">
                      <a:spAutoFit/>
                    </wps:bodyPr>
                  </wps:wsp>
                </a:graphicData>
              </a:graphic>
            </wp:anchor>
          </w:drawing>
        </mc:Choice>
        <mc:Fallback>
          <w:pict>
            <v:shape id="Shape 7" o:spid="_x0000_s1026" o:spt="202" type="#_x0000_t202" style="position:absolute;left:0pt;margin-left:278.2pt;margin-top:771.45pt;height:5.75pt;width:8.15pt;mso-position-horizontal-relative:page;mso-position-vertical-relative:page;mso-wrap-style:none;z-index:-251657216;mso-width-relative:page;mso-height-relative:page;" filled="f" stroked="f" coordsize="21600,21600" o:gfxdata="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9/K/12AAAAA0BAAAPAAAAAAAAAAEAIAAAACIAAABkcnMvZG93bnJldi54bWxQSwECFAAU&#10;AAAACACHTuJARIIpe7gBAACUAwAADgAAAAAAAAABACAAAAAnAQAAZHJzL2Uyb0RvYy54bWxQSwUG&#10;AAAAAAYABgBZAQAAUQUAAAAA&#10;">
              <v:fill on="f" focussize="0,0"/>
              <v:stroke on="f"/>
              <v:imagedata o:title=""/>
              <o:lock v:ext="edit" aspectratio="f"/>
              <v:textbox inset="0mm,0mm,0mm,0mm" style="mso-fit-shape-to-text:t;">
                <w:txbxContent>
                  <w:p w14:paraId="293D2B8A">
                    <w:pPr>
                      <w:pStyle w:val="196"/>
                      <w:rPr>
                        <w:sz w:val="16"/>
                        <w:szCs w:val="16"/>
                      </w:rPr>
                    </w:pPr>
                    <w:r>
                      <w:rPr>
                        <w:rFonts w:eastAsia="Times New Roman"/>
                        <w:color w:val="000000"/>
                        <w:sz w:val="16"/>
                        <w:szCs w:val="16"/>
                        <w:lang w:eastAsia="en-US" w:bidi="en-US"/>
                      </w:rPr>
                      <w:t>-</w:t>
                    </w:r>
                    <w:r>
                      <w:fldChar w:fldCharType="begin"/>
                    </w:r>
                    <w:r>
                      <w:instrText xml:space="preserve"> PAGE \* MERGEFORMAT </w:instrText>
                    </w:r>
                    <w:r>
                      <w:fldChar w:fldCharType="separate"/>
                    </w:r>
                    <w:r>
                      <w:rPr>
                        <w:sz w:val="16"/>
                        <w:szCs w:val="16"/>
                      </w:rPr>
                      <w:t>6</w:t>
                    </w:r>
                    <w:r>
                      <w:rPr>
                        <w:sz w:val="16"/>
                        <w:szCs w:val="16"/>
                      </w:rPr>
                      <w:fldChar w:fldCharType="end"/>
                    </w:r>
                    <w:r>
                      <w:rPr>
                        <w:rFonts w:eastAsia="Times New Roman"/>
                        <w:color w:val="000000"/>
                        <w:sz w:val="16"/>
                        <w:szCs w:val="16"/>
                        <w:lang w:val="zh-CN" w:bidi="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5B1D9">
    <w:pPr>
      <w:spacing w:line="1" w:lineRule="exact"/>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DF0F911">
                          <w:pPr>
                            <w:pStyle w:val="3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GRn5xOgBAADH&#10;AwAADgAAAAAAAAABACAAAAAeAQAAZHJzL2Uyb0RvYy54bWxQSwUGAAAAAAYABgBZAQAAeAUAAAAA&#10;">
              <v:fill on="f" focussize="0,0"/>
              <v:stroke on="f"/>
              <v:imagedata o:title=""/>
              <o:lock v:ext="edit" aspectratio="f"/>
              <v:textbox inset="0mm,0mm,0mm,0mm" style="mso-fit-shape-to-text:t;">
                <w:txbxContent>
                  <w:p w14:paraId="3DF0F911">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77719">
    <w:pPr>
      <w:pStyle w:val="3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2FCCBDF">
                          <w:pPr>
                            <w:pStyle w:val="3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OPbE4zmAQAAxwMA&#10;AA4AAAAAAAAAAQAgAAAAHgEAAGRycy9lMm9Eb2MueG1sUEsFBgAAAAAGAAYAWQEAAHYFAAAAAA==&#10;">
              <v:fill on="f" focussize="0,0"/>
              <v:stroke on="f"/>
              <v:imagedata o:title=""/>
              <o:lock v:ext="edit" aspectratio="f"/>
              <v:textbox inset="0mm,0mm,0mm,0mm" style="mso-fit-shape-to-text:t;">
                <w:txbxContent>
                  <w:p w14:paraId="22FCCBDF">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2E87B">
    <w:pPr>
      <w:pStyle w:val="19"/>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70C55D8">
                          <w:pPr>
                            <w:pStyle w:val="30"/>
                          </w:pPr>
                          <w:r>
                            <w:fldChar w:fldCharType="begin"/>
                          </w:r>
                          <w:r>
                            <w:instrText xml:space="preserve"> PAGE  \* MERGEFORMAT </w:instrText>
                          </w:r>
                          <w:r>
                            <w:fldChar w:fldCharType="separate"/>
                          </w:r>
                          <w:r>
                            <w:t>40</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dsu8bmAQAAyAMA&#10;AA4AAAAAAAAAAQAgAAAAHgEAAGRycy9lMm9Eb2MueG1sUEsFBgAAAAAGAAYAWQEAAHYFAAAAAA==&#10;">
              <v:fill on="f" focussize="0,0"/>
              <v:stroke on="f"/>
              <v:imagedata o:title=""/>
              <o:lock v:ext="edit" aspectratio="f"/>
              <v:textbox inset="0mm,0mm,0mm,0mm" style="mso-fit-shape-to-text:t;">
                <w:txbxContent>
                  <w:p w14:paraId="070C55D8">
                    <w:pPr>
                      <w:pStyle w:val="3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5A395">
    <w:pPr>
      <w:pStyle w:val="3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EF146D9">
                          <w:pPr>
                            <w:pStyle w:val="30"/>
                          </w:pPr>
                          <w:r>
                            <w:fldChar w:fldCharType="begin"/>
                          </w:r>
                          <w:r>
                            <w:instrText xml:space="preserve"> PAGE  \* MERGEFORMAT </w:instrText>
                          </w:r>
                          <w:r>
                            <w:fldChar w:fldCharType="separate"/>
                          </w:r>
                          <w:r>
                            <w:t>72</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tLsaF5wEAAMgD&#10;AAAOAAAAAAAAAAEAIAAAAB4BAABkcnMvZTJvRG9jLnhtbFBLBQYAAAAABgAGAFkBAAB3BQAAAAA=&#10;">
              <v:fill on="f" focussize="0,0"/>
              <v:stroke on="f"/>
              <v:imagedata o:title=""/>
              <o:lock v:ext="edit" aspectratio="f"/>
              <v:textbox inset="0mm,0mm,0mm,0mm" style="mso-fit-shape-to-text:t;">
                <w:txbxContent>
                  <w:p w14:paraId="1EF146D9">
                    <w:pPr>
                      <w:pStyle w:val="30"/>
                    </w:pPr>
                    <w:r>
                      <w:fldChar w:fldCharType="begin"/>
                    </w:r>
                    <w:r>
                      <w:instrText xml:space="preserve"> PAGE  \* MERGEFORMAT </w:instrText>
                    </w:r>
                    <w:r>
                      <w:fldChar w:fldCharType="separate"/>
                    </w:r>
                    <w:r>
                      <w:t>72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FB1A3">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F66B0"/>
    <w:multiLevelType w:val="singleLevel"/>
    <w:tmpl w:val="B4AF66B0"/>
    <w:lvl w:ilvl="0" w:tentative="0">
      <w:start w:val="3"/>
      <w:numFmt w:val="decimal"/>
      <w:suff w:val="nothing"/>
      <w:lvlText w:val="%1、"/>
      <w:lvlJc w:val="left"/>
    </w:lvl>
  </w:abstractNum>
  <w:abstractNum w:abstractNumId="1">
    <w:nsid w:val="09930BC3"/>
    <w:multiLevelType w:val="multilevel"/>
    <w:tmpl w:val="09930BC3"/>
    <w:lvl w:ilvl="0" w:tentative="0">
      <w:start w:val="1"/>
      <w:numFmt w:val="decimal"/>
      <w:pStyle w:val="13"/>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28071BD"/>
    <w:multiLevelType w:val="multilevel"/>
    <w:tmpl w:val="428071BD"/>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3">
    <w:nsid w:val="505793E6"/>
    <w:multiLevelType w:val="singleLevel"/>
    <w:tmpl w:val="505793E6"/>
    <w:lvl w:ilvl="0" w:tentative="0">
      <w:start w:val="9"/>
      <w:numFmt w:val="decimal"/>
      <w:lvlText w:val="%1."/>
      <w:lvlJc w:val="left"/>
      <w:pPr>
        <w:tabs>
          <w:tab w:val="left" w:pos="312"/>
        </w:tabs>
      </w:pPr>
    </w:lvl>
  </w:abstractNum>
  <w:abstractNum w:abstractNumId="4">
    <w:nsid w:val="559A01F3"/>
    <w:multiLevelType w:val="singleLevel"/>
    <w:tmpl w:val="559A01F3"/>
    <w:lvl w:ilvl="0" w:tentative="0">
      <w:start w:val="8"/>
      <w:numFmt w:val="decimal"/>
      <w:pStyle w:val="21"/>
      <w:suff w:val="nothing"/>
      <w:lvlText w:val="%1、"/>
      <w:lvlJc w:val="left"/>
    </w:lvl>
  </w:abstractNum>
  <w:abstractNum w:abstractNumId="5">
    <w:nsid w:val="56E67968"/>
    <w:multiLevelType w:val="singleLevel"/>
    <w:tmpl w:val="56E67968"/>
    <w:lvl w:ilvl="0" w:tentative="0">
      <w:start w:val="1"/>
      <w:numFmt w:val="chineseCounting"/>
      <w:suff w:val="nothing"/>
      <w:lvlText w:val="%1、"/>
      <w:lvlJc w:val="left"/>
    </w:lvl>
  </w:abstractNum>
  <w:abstractNum w:abstractNumId="6">
    <w:nsid w:val="5FEE9A75"/>
    <w:multiLevelType w:val="singleLevel"/>
    <w:tmpl w:val="5FEE9A75"/>
    <w:lvl w:ilvl="0" w:tentative="0">
      <w:start w:val="12"/>
      <w:numFmt w:val="decimal"/>
      <w:lvlText w:val="%1."/>
      <w:lvlJc w:val="left"/>
      <w:pPr>
        <w:tabs>
          <w:tab w:val="left" w:pos="312"/>
        </w:tabs>
      </w:pPr>
    </w:lvl>
  </w:abstractNum>
  <w:abstractNum w:abstractNumId="7">
    <w:nsid w:val="646260FA"/>
    <w:multiLevelType w:val="multilevel"/>
    <w:tmpl w:val="646260FA"/>
    <w:lvl w:ilvl="0" w:tentative="0">
      <w:start w:val="1"/>
      <w:numFmt w:val="decimal"/>
      <w:pStyle w:val="246"/>
      <w:suff w:val="nothing"/>
      <w:lvlText w:val="表%1　"/>
      <w:lvlJc w:val="left"/>
      <w:pPr>
        <w:ind w:left="0" w:firstLine="0"/>
      </w:pPr>
      <w:rPr>
        <w:rFonts w:hint="eastAsia" w:ascii="黑体" w:hAnsi="Times New Roman" w:eastAsia="黑体"/>
        <w:b w:val="0"/>
        <w:i w:val="0"/>
        <w:color w:val="00000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4"/>
  </w:num>
  <w:num w:numId="3">
    <w:abstractNumId w:val="7"/>
  </w:num>
  <w:num w:numId="4">
    <w:abstractNumId w:val="6"/>
  </w:num>
  <w:num w:numId="5">
    <w:abstractNumId w:val="0"/>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lMTYzNjg1Y2IyZjQwZDRjNjM3MzIzMGNmZGQ0ZWEifQ=="/>
  </w:docVars>
  <w:rsids>
    <w:rsidRoot w:val="00162582"/>
    <w:rsid w:val="00000EEB"/>
    <w:rsid w:val="00001DA5"/>
    <w:rsid w:val="00002DFE"/>
    <w:rsid w:val="000123A2"/>
    <w:rsid w:val="00014179"/>
    <w:rsid w:val="00014602"/>
    <w:rsid w:val="0001577B"/>
    <w:rsid w:val="000163F0"/>
    <w:rsid w:val="0002103E"/>
    <w:rsid w:val="000255EF"/>
    <w:rsid w:val="000256AB"/>
    <w:rsid w:val="00033743"/>
    <w:rsid w:val="000418F1"/>
    <w:rsid w:val="000465CA"/>
    <w:rsid w:val="0005357D"/>
    <w:rsid w:val="00061618"/>
    <w:rsid w:val="000629E4"/>
    <w:rsid w:val="000638A3"/>
    <w:rsid w:val="0006478B"/>
    <w:rsid w:val="00065140"/>
    <w:rsid w:val="00073377"/>
    <w:rsid w:val="00075561"/>
    <w:rsid w:val="0007574C"/>
    <w:rsid w:val="00077564"/>
    <w:rsid w:val="0008224E"/>
    <w:rsid w:val="00085E80"/>
    <w:rsid w:val="00086452"/>
    <w:rsid w:val="00093BC0"/>
    <w:rsid w:val="000956D4"/>
    <w:rsid w:val="00096BCE"/>
    <w:rsid w:val="000A2A2C"/>
    <w:rsid w:val="000A64AF"/>
    <w:rsid w:val="000B55FD"/>
    <w:rsid w:val="000B6DDD"/>
    <w:rsid w:val="000C1C3D"/>
    <w:rsid w:val="000D57E7"/>
    <w:rsid w:val="000E0842"/>
    <w:rsid w:val="000E0B56"/>
    <w:rsid w:val="000E0CCE"/>
    <w:rsid w:val="000E4D9A"/>
    <w:rsid w:val="000E57F3"/>
    <w:rsid w:val="000E7B49"/>
    <w:rsid w:val="000F54FE"/>
    <w:rsid w:val="000F7384"/>
    <w:rsid w:val="00101ADF"/>
    <w:rsid w:val="001039A4"/>
    <w:rsid w:val="00112CA7"/>
    <w:rsid w:val="0011363E"/>
    <w:rsid w:val="00115FF7"/>
    <w:rsid w:val="001225DB"/>
    <w:rsid w:val="00122A58"/>
    <w:rsid w:val="001258EA"/>
    <w:rsid w:val="00130EA5"/>
    <w:rsid w:val="00131476"/>
    <w:rsid w:val="00132A9A"/>
    <w:rsid w:val="0013378E"/>
    <w:rsid w:val="001353A5"/>
    <w:rsid w:val="001369F4"/>
    <w:rsid w:val="00140BFC"/>
    <w:rsid w:val="00151AC0"/>
    <w:rsid w:val="00152FCB"/>
    <w:rsid w:val="00153149"/>
    <w:rsid w:val="00155714"/>
    <w:rsid w:val="00156A10"/>
    <w:rsid w:val="00162582"/>
    <w:rsid w:val="0016380F"/>
    <w:rsid w:val="00174C56"/>
    <w:rsid w:val="00185F6D"/>
    <w:rsid w:val="00187BEF"/>
    <w:rsid w:val="0019207F"/>
    <w:rsid w:val="001945C1"/>
    <w:rsid w:val="001A0BDF"/>
    <w:rsid w:val="001A627A"/>
    <w:rsid w:val="001A6C5A"/>
    <w:rsid w:val="001B0762"/>
    <w:rsid w:val="001B13FD"/>
    <w:rsid w:val="001B64F5"/>
    <w:rsid w:val="001B7ADF"/>
    <w:rsid w:val="001C139F"/>
    <w:rsid w:val="001C1AE9"/>
    <w:rsid w:val="001C688F"/>
    <w:rsid w:val="001C69FC"/>
    <w:rsid w:val="001D6043"/>
    <w:rsid w:val="001E097E"/>
    <w:rsid w:val="001E0E37"/>
    <w:rsid w:val="001E5DB7"/>
    <w:rsid w:val="001F1D14"/>
    <w:rsid w:val="00203D9A"/>
    <w:rsid w:val="00205B9E"/>
    <w:rsid w:val="002065A5"/>
    <w:rsid w:val="002077A3"/>
    <w:rsid w:val="002114CA"/>
    <w:rsid w:val="00213DC2"/>
    <w:rsid w:val="00214B24"/>
    <w:rsid w:val="002154B7"/>
    <w:rsid w:val="002173A7"/>
    <w:rsid w:val="0022176A"/>
    <w:rsid w:val="002219FB"/>
    <w:rsid w:val="0023155D"/>
    <w:rsid w:val="00233B07"/>
    <w:rsid w:val="00244963"/>
    <w:rsid w:val="0025063E"/>
    <w:rsid w:val="00250AFA"/>
    <w:rsid w:val="00250DBF"/>
    <w:rsid w:val="00256197"/>
    <w:rsid w:val="00276FB3"/>
    <w:rsid w:val="00277701"/>
    <w:rsid w:val="00281DCB"/>
    <w:rsid w:val="00285884"/>
    <w:rsid w:val="002863C5"/>
    <w:rsid w:val="002879A8"/>
    <w:rsid w:val="00294211"/>
    <w:rsid w:val="00295A26"/>
    <w:rsid w:val="00297511"/>
    <w:rsid w:val="002A4AB9"/>
    <w:rsid w:val="002A601C"/>
    <w:rsid w:val="002B097F"/>
    <w:rsid w:val="002B7AC0"/>
    <w:rsid w:val="002C59CA"/>
    <w:rsid w:val="002C7E89"/>
    <w:rsid w:val="002D3552"/>
    <w:rsid w:val="002D4F65"/>
    <w:rsid w:val="002E295A"/>
    <w:rsid w:val="002E3201"/>
    <w:rsid w:val="002E5F00"/>
    <w:rsid w:val="002E6827"/>
    <w:rsid w:val="002F1B2E"/>
    <w:rsid w:val="002F334D"/>
    <w:rsid w:val="002F5C50"/>
    <w:rsid w:val="002F6140"/>
    <w:rsid w:val="003019C4"/>
    <w:rsid w:val="0030375C"/>
    <w:rsid w:val="00304EC0"/>
    <w:rsid w:val="00305D56"/>
    <w:rsid w:val="003069DE"/>
    <w:rsid w:val="00310364"/>
    <w:rsid w:val="003128A1"/>
    <w:rsid w:val="003139B9"/>
    <w:rsid w:val="00315077"/>
    <w:rsid w:val="0031662B"/>
    <w:rsid w:val="00322007"/>
    <w:rsid w:val="00322792"/>
    <w:rsid w:val="0032323A"/>
    <w:rsid w:val="003258F1"/>
    <w:rsid w:val="00326442"/>
    <w:rsid w:val="00326BD6"/>
    <w:rsid w:val="0033305F"/>
    <w:rsid w:val="003373D4"/>
    <w:rsid w:val="00344549"/>
    <w:rsid w:val="00347C8E"/>
    <w:rsid w:val="00347DC8"/>
    <w:rsid w:val="00351CA5"/>
    <w:rsid w:val="00353507"/>
    <w:rsid w:val="00354BEA"/>
    <w:rsid w:val="00357385"/>
    <w:rsid w:val="003630A1"/>
    <w:rsid w:val="0036588C"/>
    <w:rsid w:val="00377500"/>
    <w:rsid w:val="00383072"/>
    <w:rsid w:val="003840B1"/>
    <w:rsid w:val="00385AE2"/>
    <w:rsid w:val="00395F6E"/>
    <w:rsid w:val="003A0B76"/>
    <w:rsid w:val="003A14AD"/>
    <w:rsid w:val="003A2F3E"/>
    <w:rsid w:val="003A3505"/>
    <w:rsid w:val="003A3A84"/>
    <w:rsid w:val="003A6D09"/>
    <w:rsid w:val="003A774E"/>
    <w:rsid w:val="003B2BAC"/>
    <w:rsid w:val="003B2FB0"/>
    <w:rsid w:val="003B641B"/>
    <w:rsid w:val="003B655A"/>
    <w:rsid w:val="003B66C0"/>
    <w:rsid w:val="003B75B1"/>
    <w:rsid w:val="003C256C"/>
    <w:rsid w:val="003C2FC8"/>
    <w:rsid w:val="003D31A0"/>
    <w:rsid w:val="003D3723"/>
    <w:rsid w:val="003D42E5"/>
    <w:rsid w:val="003D7CA0"/>
    <w:rsid w:val="003E10A1"/>
    <w:rsid w:val="003E323C"/>
    <w:rsid w:val="003E57DE"/>
    <w:rsid w:val="003E6D4D"/>
    <w:rsid w:val="003F2FA4"/>
    <w:rsid w:val="003F3CCB"/>
    <w:rsid w:val="003F7B08"/>
    <w:rsid w:val="004007B9"/>
    <w:rsid w:val="00404D2D"/>
    <w:rsid w:val="004055F6"/>
    <w:rsid w:val="0041043F"/>
    <w:rsid w:val="00411E56"/>
    <w:rsid w:val="00424526"/>
    <w:rsid w:val="00434750"/>
    <w:rsid w:val="00434BAA"/>
    <w:rsid w:val="0043787A"/>
    <w:rsid w:val="004428A6"/>
    <w:rsid w:val="00443489"/>
    <w:rsid w:val="00443D45"/>
    <w:rsid w:val="004453FF"/>
    <w:rsid w:val="00447CA7"/>
    <w:rsid w:val="00451A7D"/>
    <w:rsid w:val="00452D54"/>
    <w:rsid w:val="00457BA5"/>
    <w:rsid w:val="00457D2B"/>
    <w:rsid w:val="00462BAD"/>
    <w:rsid w:val="00464B7F"/>
    <w:rsid w:val="00475E70"/>
    <w:rsid w:val="0048039E"/>
    <w:rsid w:val="00482336"/>
    <w:rsid w:val="00482898"/>
    <w:rsid w:val="00487690"/>
    <w:rsid w:val="00491774"/>
    <w:rsid w:val="00492D32"/>
    <w:rsid w:val="0049396B"/>
    <w:rsid w:val="00497043"/>
    <w:rsid w:val="004A192F"/>
    <w:rsid w:val="004A2C42"/>
    <w:rsid w:val="004B2BEA"/>
    <w:rsid w:val="004C31C6"/>
    <w:rsid w:val="004C4742"/>
    <w:rsid w:val="004C6D26"/>
    <w:rsid w:val="004D0E09"/>
    <w:rsid w:val="004D0FE1"/>
    <w:rsid w:val="004D11BD"/>
    <w:rsid w:val="004D3FBF"/>
    <w:rsid w:val="004D4A49"/>
    <w:rsid w:val="004D6A03"/>
    <w:rsid w:val="004D75B3"/>
    <w:rsid w:val="004E0F84"/>
    <w:rsid w:val="004E7195"/>
    <w:rsid w:val="004F1212"/>
    <w:rsid w:val="004F130B"/>
    <w:rsid w:val="004F4E95"/>
    <w:rsid w:val="00501CF9"/>
    <w:rsid w:val="00501F6E"/>
    <w:rsid w:val="00503728"/>
    <w:rsid w:val="00510BC9"/>
    <w:rsid w:val="00510E50"/>
    <w:rsid w:val="00512E54"/>
    <w:rsid w:val="00517363"/>
    <w:rsid w:val="0052554B"/>
    <w:rsid w:val="00527B64"/>
    <w:rsid w:val="005302BA"/>
    <w:rsid w:val="005306F4"/>
    <w:rsid w:val="005307AE"/>
    <w:rsid w:val="005339B4"/>
    <w:rsid w:val="0053700F"/>
    <w:rsid w:val="00544FFA"/>
    <w:rsid w:val="00546635"/>
    <w:rsid w:val="00546683"/>
    <w:rsid w:val="00547508"/>
    <w:rsid w:val="00547C7D"/>
    <w:rsid w:val="00554413"/>
    <w:rsid w:val="00554496"/>
    <w:rsid w:val="0055672B"/>
    <w:rsid w:val="0056675D"/>
    <w:rsid w:val="00567EAA"/>
    <w:rsid w:val="00567F88"/>
    <w:rsid w:val="00571E05"/>
    <w:rsid w:val="00571F76"/>
    <w:rsid w:val="0057448E"/>
    <w:rsid w:val="00574A90"/>
    <w:rsid w:val="0058300A"/>
    <w:rsid w:val="005925A1"/>
    <w:rsid w:val="00593D93"/>
    <w:rsid w:val="00596A76"/>
    <w:rsid w:val="005A022A"/>
    <w:rsid w:val="005A3FD4"/>
    <w:rsid w:val="005A46DA"/>
    <w:rsid w:val="005A55CF"/>
    <w:rsid w:val="005B0B94"/>
    <w:rsid w:val="005B375D"/>
    <w:rsid w:val="005B65FA"/>
    <w:rsid w:val="005C2397"/>
    <w:rsid w:val="005C5411"/>
    <w:rsid w:val="005C7911"/>
    <w:rsid w:val="005C7CB0"/>
    <w:rsid w:val="005C7F0C"/>
    <w:rsid w:val="005D1571"/>
    <w:rsid w:val="005D4EC9"/>
    <w:rsid w:val="005E1DD9"/>
    <w:rsid w:val="005E2BD6"/>
    <w:rsid w:val="005E3695"/>
    <w:rsid w:val="005E3F57"/>
    <w:rsid w:val="005F3D08"/>
    <w:rsid w:val="00601490"/>
    <w:rsid w:val="006018EF"/>
    <w:rsid w:val="00602F50"/>
    <w:rsid w:val="00606067"/>
    <w:rsid w:val="00606DFB"/>
    <w:rsid w:val="00611E06"/>
    <w:rsid w:val="00615A2B"/>
    <w:rsid w:val="006161C7"/>
    <w:rsid w:val="00621C95"/>
    <w:rsid w:val="006223AD"/>
    <w:rsid w:val="00631C1C"/>
    <w:rsid w:val="00632A7C"/>
    <w:rsid w:val="00633CEA"/>
    <w:rsid w:val="00636F5C"/>
    <w:rsid w:val="0064268F"/>
    <w:rsid w:val="0064513F"/>
    <w:rsid w:val="00645BFE"/>
    <w:rsid w:val="00650F47"/>
    <w:rsid w:val="00661796"/>
    <w:rsid w:val="00663249"/>
    <w:rsid w:val="006667FC"/>
    <w:rsid w:val="00667BEC"/>
    <w:rsid w:val="0067110E"/>
    <w:rsid w:val="006737D3"/>
    <w:rsid w:val="006755A3"/>
    <w:rsid w:val="00682207"/>
    <w:rsid w:val="0068386E"/>
    <w:rsid w:val="00685E53"/>
    <w:rsid w:val="00690732"/>
    <w:rsid w:val="00690C62"/>
    <w:rsid w:val="00691D68"/>
    <w:rsid w:val="00694298"/>
    <w:rsid w:val="006A2F3E"/>
    <w:rsid w:val="006A625E"/>
    <w:rsid w:val="006A731D"/>
    <w:rsid w:val="006B3CE6"/>
    <w:rsid w:val="006B4BC1"/>
    <w:rsid w:val="006C4D16"/>
    <w:rsid w:val="006C5FE4"/>
    <w:rsid w:val="006D6D1D"/>
    <w:rsid w:val="006E045E"/>
    <w:rsid w:val="006E2F91"/>
    <w:rsid w:val="006E7250"/>
    <w:rsid w:val="006F7259"/>
    <w:rsid w:val="006F7F6F"/>
    <w:rsid w:val="0070207B"/>
    <w:rsid w:val="00704703"/>
    <w:rsid w:val="00716456"/>
    <w:rsid w:val="00721905"/>
    <w:rsid w:val="00725E52"/>
    <w:rsid w:val="00727853"/>
    <w:rsid w:val="00731CC1"/>
    <w:rsid w:val="00734EFD"/>
    <w:rsid w:val="00735445"/>
    <w:rsid w:val="0074130B"/>
    <w:rsid w:val="007459C2"/>
    <w:rsid w:val="00754C86"/>
    <w:rsid w:val="00756A2C"/>
    <w:rsid w:val="00757262"/>
    <w:rsid w:val="00763549"/>
    <w:rsid w:val="00767FA0"/>
    <w:rsid w:val="00770D76"/>
    <w:rsid w:val="0077452B"/>
    <w:rsid w:val="00775A0E"/>
    <w:rsid w:val="007812CA"/>
    <w:rsid w:val="00784017"/>
    <w:rsid w:val="007901B9"/>
    <w:rsid w:val="00792A93"/>
    <w:rsid w:val="00793C66"/>
    <w:rsid w:val="007949B2"/>
    <w:rsid w:val="007A1811"/>
    <w:rsid w:val="007A57B8"/>
    <w:rsid w:val="007B02C9"/>
    <w:rsid w:val="007B0A3B"/>
    <w:rsid w:val="007B119F"/>
    <w:rsid w:val="007B233D"/>
    <w:rsid w:val="007B2D3B"/>
    <w:rsid w:val="007B2F93"/>
    <w:rsid w:val="007B355B"/>
    <w:rsid w:val="007C5BCB"/>
    <w:rsid w:val="007C713C"/>
    <w:rsid w:val="007D0C1C"/>
    <w:rsid w:val="007D306C"/>
    <w:rsid w:val="007E5FD9"/>
    <w:rsid w:val="007E73A0"/>
    <w:rsid w:val="007F3921"/>
    <w:rsid w:val="007F3B34"/>
    <w:rsid w:val="008067C6"/>
    <w:rsid w:val="008106C4"/>
    <w:rsid w:val="00811F90"/>
    <w:rsid w:val="00813317"/>
    <w:rsid w:val="0081671C"/>
    <w:rsid w:val="00822E94"/>
    <w:rsid w:val="008251F4"/>
    <w:rsid w:val="0083128D"/>
    <w:rsid w:val="0084231E"/>
    <w:rsid w:val="00844B16"/>
    <w:rsid w:val="00845458"/>
    <w:rsid w:val="008473C8"/>
    <w:rsid w:val="00850D50"/>
    <w:rsid w:val="008526F2"/>
    <w:rsid w:val="00853C3E"/>
    <w:rsid w:val="00855336"/>
    <w:rsid w:val="00856238"/>
    <w:rsid w:val="00862827"/>
    <w:rsid w:val="00863D61"/>
    <w:rsid w:val="00863F9E"/>
    <w:rsid w:val="00866731"/>
    <w:rsid w:val="00866878"/>
    <w:rsid w:val="0086687E"/>
    <w:rsid w:val="00866CCA"/>
    <w:rsid w:val="008674D1"/>
    <w:rsid w:val="0087002B"/>
    <w:rsid w:val="00872929"/>
    <w:rsid w:val="00880B34"/>
    <w:rsid w:val="00883321"/>
    <w:rsid w:val="00886006"/>
    <w:rsid w:val="008863A0"/>
    <w:rsid w:val="008A000A"/>
    <w:rsid w:val="008A096F"/>
    <w:rsid w:val="008A3B3F"/>
    <w:rsid w:val="008A4E22"/>
    <w:rsid w:val="008A5860"/>
    <w:rsid w:val="008B7BC2"/>
    <w:rsid w:val="008C1A58"/>
    <w:rsid w:val="008D01BD"/>
    <w:rsid w:val="008D06A9"/>
    <w:rsid w:val="008D21A8"/>
    <w:rsid w:val="008D23F2"/>
    <w:rsid w:val="008E1374"/>
    <w:rsid w:val="008E5AA0"/>
    <w:rsid w:val="008E7EA8"/>
    <w:rsid w:val="008F747F"/>
    <w:rsid w:val="0090060C"/>
    <w:rsid w:val="00904645"/>
    <w:rsid w:val="009127B7"/>
    <w:rsid w:val="009141D0"/>
    <w:rsid w:val="00915A2F"/>
    <w:rsid w:val="00917560"/>
    <w:rsid w:val="00922A89"/>
    <w:rsid w:val="009238E8"/>
    <w:rsid w:val="009247D6"/>
    <w:rsid w:val="00925348"/>
    <w:rsid w:val="009347B9"/>
    <w:rsid w:val="00935542"/>
    <w:rsid w:val="009428CD"/>
    <w:rsid w:val="009433E3"/>
    <w:rsid w:val="00947060"/>
    <w:rsid w:val="00953F73"/>
    <w:rsid w:val="00956ABA"/>
    <w:rsid w:val="00963BA7"/>
    <w:rsid w:val="00963EEB"/>
    <w:rsid w:val="0097049E"/>
    <w:rsid w:val="00971282"/>
    <w:rsid w:val="00974AAC"/>
    <w:rsid w:val="00974C21"/>
    <w:rsid w:val="009808DB"/>
    <w:rsid w:val="009830FC"/>
    <w:rsid w:val="00986B48"/>
    <w:rsid w:val="009870AA"/>
    <w:rsid w:val="009871A6"/>
    <w:rsid w:val="00992BDA"/>
    <w:rsid w:val="009A1767"/>
    <w:rsid w:val="009B4BBC"/>
    <w:rsid w:val="009B5369"/>
    <w:rsid w:val="009C0932"/>
    <w:rsid w:val="009C2D08"/>
    <w:rsid w:val="009C334E"/>
    <w:rsid w:val="009C3B11"/>
    <w:rsid w:val="009C5F87"/>
    <w:rsid w:val="009C7A52"/>
    <w:rsid w:val="009C7F90"/>
    <w:rsid w:val="009D1D9A"/>
    <w:rsid w:val="009D2F3D"/>
    <w:rsid w:val="009D734A"/>
    <w:rsid w:val="009E6781"/>
    <w:rsid w:val="009F20DC"/>
    <w:rsid w:val="009F29D8"/>
    <w:rsid w:val="009F4017"/>
    <w:rsid w:val="009F53A8"/>
    <w:rsid w:val="009F64F2"/>
    <w:rsid w:val="009F7250"/>
    <w:rsid w:val="00A020CA"/>
    <w:rsid w:val="00A0219B"/>
    <w:rsid w:val="00A02F03"/>
    <w:rsid w:val="00A038EE"/>
    <w:rsid w:val="00A05581"/>
    <w:rsid w:val="00A1243A"/>
    <w:rsid w:val="00A148B7"/>
    <w:rsid w:val="00A16EF5"/>
    <w:rsid w:val="00A2016A"/>
    <w:rsid w:val="00A201FE"/>
    <w:rsid w:val="00A20BED"/>
    <w:rsid w:val="00A25B49"/>
    <w:rsid w:val="00A30D3B"/>
    <w:rsid w:val="00A31408"/>
    <w:rsid w:val="00A33531"/>
    <w:rsid w:val="00A361C4"/>
    <w:rsid w:val="00A41614"/>
    <w:rsid w:val="00A42066"/>
    <w:rsid w:val="00A45478"/>
    <w:rsid w:val="00A46E65"/>
    <w:rsid w:val="00A51A85"/>
    <w:rsid w:val="00A52604"/>
    <w:rsid w:val="00A536B4"/>
    <w:rsid w:val="00A60D3A"/>
    <w:rsid w:val="00A6254A"/>
    <w:rsid w:val="00A73F2D"/>
    <w:rsid w:val="00A74B37"/>
    <w:rsid w:val="00A80D0D"/>
    <w:rsid w:val="00A82217"/>
    <w:rsid w:val="00A82C40"/>
    <w:rsid w:val="00A87F2C"/>
    <w:rsid w:val="00A942AE"/>
    <w:rsid w:val="00AA37D2"/>
    <w:rsid w:val="00AA393F"/>
    <w:rsid w:val="00AB01C4"/>
    <w:rsid w:val="00AB46DB"/>
    <w:rsid w:val="00AB6B86"/>
    <w:rsid w:val="00AB7C4D"/>
    <w:rsid w:val="00AB7FB7"/>
    <w:rsid w:val="00AC0822"/>
    <w:rsid w:val="00AC19E4"/>
    <w:rsid w:val="00AC6E4A"/>
    <w:rsid w:val="00AD62F3"/>
    <w:rsid w:val="00AE239C"/>
    <w:rsid w:val="00AE527E"/>
    <w:rsid w:val="00AF0660"/>
    <w:rsid w:val="00AF3A66"/>
    <w:rsid w:val="00AF4643"/>
    <w:rsid w:val="00AF7081"/>
    <w:rsid w:val="00AF7A20"/>
    <w:rsid w:val="00B0036D"/>
    <w:rsid w:val="00B0238E"/>
    <w:rsid w:val="00B0590B"/>
    <w:rsid w:val="00B06464"/>
    <w:rsid w:val="00B064AF"/>
    <w:rsid w:val="00B118C6"/>
    <w:rsid w:val="00B16FD8"/>
    <w:rsid w:val="00B176DC"/>
    <w:rsid w:val="00B23813"/>
    <w:rsid w:val="00B25621"/>
    <w:rsid w:val="00B32F5F"/>
    <w:rsid w:val="00B37D56"/>
    <w:rsid w:val="00B42B9D"/>
    <w:rsid w:val="00B470A7"/>
    <w:rsid w:val="00B519F3"/>
    <w:rsid w:val="00B61E48"/>
    <w:rsid w:val="00B633A1"/>
    <w:rsid w:val="00B66E08"/>
    <w:rsid w:val="00B702E1"/>
    <w:rsid w:val="00B76BBE"/>
    <w:rsid w:val="00B82A83"/>
    <w:rsid w:val="00B91EF4"/>
    <w:rsid w:val="00B92362"/>
    <w:rsid w:val="00B94960"/>
    <w:rsid w:val="00B94F49"/>
    <w:rsid w:val="00B95399"/>
    <w:rsid w:val="00BA1E5C"/>
    <w:rsid w:val="00BA2F49"/>
    <w:rsid w:val="00BA5B73"/>
    <w:rsid w:val="00BC0E1B"/>
    <w:rsid w:val="00BC5458"/>
    <w:rsid w:val="00BC5C4E"/>
    <w:rsid w:val="00BC792F"/>
    <w:rsid w:val="00BD15B9"/>
    <w:rsid w:val="00BD1806"/>
    <w:rsid w:val="00BD3112"/>
    <w:rsid w:val="00BE2735"/>
    <w:rsid w:val="00BE6AB6"/>
    <w:rsid w:val="00BE7DAC"/>
    <w:rsid w:val="00BE7F26"/>
    <w:rsid w:val="00BF19F8"/>
    <w:rsid w:val="00BF1ED4"/>
    <w:rsid w:val="00BF721E"/>
    <w:rsid w:val="00BF7D96"/>
    <w:rsid w:val="00C06CBD"/>
    <w:rsid w:val="00C07478"/>
    <w:rsid w:val="00C078E7"/>
    <w:rsid w:val="00C120F8"/>
    <w:rsid w:val="00C35F9B"/>
    <w:rsid w:val="00C4134E"/>
    <w:rsid w:val="00C4376F"/>
    <w:rsid w:val="00C4415E"/>
    <w:rsid w:val="00C46E50"/>
    <w:rsid w:val="00C471DB"/>
    <w:rsid w:val="00C51D0A"/>
    <w:rsid w:val="00C5376E"/>
    <w:rsid w:val="00C562FA"/>
    <w:rsid w:val="00C60CFC"/>
    <w:rsid w:val="00C611E5"/>
    <w:rsid w:val="00C67DAF"/>
    <w:rsid w:val="00C70303"/>
    <w:rsid w:val="00C70C86"/>
    <w:rsid w:val="00C71159"/>
    <w:rsid w:val="00C72171"/>
    <w:rsid w:val="00C77B2C"/>
    <w:rsid w:val="00C80E5D"/>
    <w:rsid w:val="00C80F7F"/>
    <w:rsid w:val="00C82318"/>
    <w:rsid w:val="00C84518"/>
    <w:rsid w:val="00C86000"/>
    <w:rsid w:val="00C92E70"/>
    <w:rsid w:val="00CA4A3B"/>
    <w:rsid w:val="00CA63C9"/>
    <w:rsid w:val="00CA7699"/>
    <w:rsid w:val="00CB0023"/>
    <w:rsid w:val="00CB22B9"/>
    <w:rsid w:val="00CB781B"/>
    <w:rsid w:val="00CC79E3"/>
    <w:rsid w:val="00CD1697"/>
    <w:rsid w:val="00CD1D16"/>
    <w:rsid w:val="00CD4DD1"/>
    <w:rsid w:val="00CE04E8"/>
    <w:rsid w:val="00CE2A27"/>
    <w:rsid w:val="00CE4B86"/>
    <w:rsid w:val="00CE5B3A"/>
    <w:rsid w:val="00CF0247"/>
    <w:rsid w:val="00CF4843"/>
    <w:rsid w:val="00D07F86"/>
    <w:rsid w:val="00D12483"/>
    <w:rsid w:val="00D17383"/>
    <w:rsid w:val="00D25E5F"/>
    <w:rsid w:val="00D26B63"/>
    <w:rsid w:val="00D30899"/>
    <w:rsid w:val="00D3357F"/>
    <w:rsid w:val="00D35E9C"/>
    <w:rsid w:val="00D408FB"/>
    <w:rsid w:val="00D42DBB"/>
    <w:rsid w:val="00D44295"/>
    <w:rsid w:val="00D46FB4"/>
    <w:rsid w:val="00D47801"/>
    <w:rsid w:val="00D4793B"/>
    <w:rsid w:val="00D52CFB"/>
    <w:rsid w:val="00D53F64"/>
    <w:rsid w:val="00D5709C"/>
    <w:rsid w:val="00D614A6"/>
    <w:rsid w:val="00D656D7"/>
    <w:rsid w:val="00D77B55"/>
    <w:rsid w:val="00D82A39"/>
    <w:rsid w:val="00D8427E"/>
    <w:rsid w:val="00D90B8D"/>
    <w:rsid w:val="00DA3D98"/>
    <w:rsid w:val="00DA4431"/>
    <w:rsid w:val="00DA47AA"/>
    <w:rsid w:val="00DB0EBB"/>
    <w:rsid w:val="00DB6CF4"/>
    <w:rsid w:val="00DB7CDC"/>
    <w:rsid w:val="00DC01C8"/>
    <w:rsid w:val="00DC43FD"/>
    <w:rsid w:val="00DC58F3"/>
    <w:rsid w:val="00DC59FB"/>
    <w:rsid w:val="00DC630A"/>
    <w:rsid w:val="00DC6407"/>
    <w:rsid w:val="00DC674D"/>
    <w:rsid w:val="00DD2FBD"/>
    <w:rsid w:val="00DD6585"/>
    <w:rsid w:val="00DE2A26"/>
    <w:rsid w:val="00DE3D19"/>
    <w:rsid w:val="00DE4ACC"/>
    <w:rsid w:val="00DE6142"/>
    <w:rsid w:val="00DE719D"/>
    <w:rsid w:val="00DF1B3B"/>
    <w:rsid w:val="00DF4755"/>
    <w:rsid w:val="00DF5146"/>
    <w:rsid w:val="00DF7307"/>
    <w:rsid w:val="00DF7331"/>
    <w:rsid w:val="00E0316E"/>
    <w:rsid w:val="00E03EE2"/>
    <w:rsid w:val="00E0428F"/>
    <w:rsid w:val="00E12325"/>
    <w:rsid w:val="00E12856"/>
    <w:rsid w:val="00E222FF"/>
    <w:rsid w:val="00E27D36"/>
    <w:rsid w:val="00E3380A"/>
    <w:rsid w:val="00E34331"/>
    <w:rsid w:val="00E344D5"/>
    <w:rsid w:val="00E3489D"/>
    <w:rsid w:val="00E41E32"/>
    <w:rsid w:val="00E42E3E"/>
    <w:rsid w:val="00E4554F"/>
    <w:rsid w:val="00E47169"/>
    <w:rsid w:val="00E47A8B"/>
    <w:rsid w:val="00E51BA1"/>
    <w:rsid w:val="00E541AF"/>
    <w:rsid w:val="00E5567F"/>
    <w:rsid w:val="00E561B3"/>
    <w:rsid w:val="00E56C3E"/>
    <w:rsid w:val="00E56E49"/>
    <w:rsid w:val="00E57973"/>
    <w:rsid w:val="00E600A8"/>
    <w:rsid w:val="00E73131"/>
    <w:rsid w:val="00E74DFF"/>
    <w:rsid w:val="00E75E93"/>
    <w:rsid w:val="00E76643"/>
    <w:rsid w:val="00E93D4D"/>
    <w:rsid w:val="00E94BD8"/>
    <w:rsid w:val="00E966E0"/>
    <w:rsid w:val="00E97142"/>
    <w:rsid w:val="00EA400B"/>
    <w:rsid w:val="00EB4FFC"/>
    <w:rsid w:val="00EC1A47"/>
    <w:rsid w:val="00EC2986"/>
    <w:rsid w:val="00EC5547"/>
    <w:rsid w:val="00EC5E69"/>
    <w:rsid w:val="00ED0B93"/>
    <w:rsid w:val="00ED5B33"/>
    <w:rsid w:val="00ED6E60"/>
    <w:rsid w:val="00ED6FD7"/>
    <w:rsid w:val="00ED79EA"/>
    <w:rsid w:val="00EE039E"/>
    <w:rsid w:val="00EE0B82"/>
    <w:rsid w:val="00EE347B"/>
    <w:rsid w:val="00EE40E6"/>
    <w:rsid w:val="00EE696F"/>
    <w:rsid w:val="00EF0985"/>
    <w:rsid w:val="00EF2EC5"/>
    <w:rsid w:val="00EF369B"/>
    <w:rsid w:val="00F00D55"/>
    <w:rsid w:val="00F02092"/>
    <w:rsid w:val="00F03D87"/>
    <w:rsid w:val="00F077B3"/>
    <w:rsid w:val="00F12AE2"/>
    <w:rsid w:val="00F13D98"/>
    <w:rsid w:val="00F168F4"/>
    <w:rsid w:val="00F16B1F"/>
    <w:rsid w:val="00F220DA"/>
    <w:rsid w:val="00F27A03"/>
    <w:rsid w:val="00F3032D"/>
    <w:rsid w:val="00F37744"/>
    <w:rsid w:val="00F451F4"/>
    <w:rsid w:val="00F52D0D"/>
    <w:rsid w:val="00F536EA"/>
    <w:rsid w:val="00F53AC1"/>
    <w:rsid w:val="00F562C8"/>
    <w:rsid w:val="00F611E7"/>
    <w:rsid w:val="00F635F1"/>
    <w:rsid w:val="00F663CC"/>
    <w:rsid w:val="00F66DD7"/>
    <w:rsid w:val="00F80142"/>
    <w:rsid w:val="00F80B37"/>
    <w:rsid w:val="00F8187E"/>
    <w:rsid w:val="00F91F76"/>
    <w:rsid w:val="00F92DFB"/>
    <w:rsid w:val="00F95493"/>
    <w:rsid w:val="00FA3166"/>
    <w:rsid w:val="00FA5E5E"/>
    <w:rsid w:val="00FA7E9C"/>
    <w:rsid w:val="00FB1480"/>
    <w:rsid w:val="00FB7811"/>
    <w:rsid w:val="00FC2596"/>
    <w:rsid w:val="00FC2B7F"/>
    <w:rsid w:val="00FC2D33"/>
    <w:rsid w:val="00FD1A2C"/>
    <w:rsid w:val="00FD24E6"/>
    <w:rsid w:val="00FD42AE"/>
    <w:rsid w:val="00FE0C67"/>
    <w:rsid w:val="00FE1390"/>
    <w:rsid w:val="00FE1463"/>
    <w:rsid w:val="00FE14A9"/>
    <w:rsid w:val="00FE4489"/>
    <w:rsid w:val="00FE4CF3"/>
    <w:rsid w:val="00FE7FD0"/>
    <w:rsid w:val="00FF2F0B"/>
    <w:rsid w:val="00FF4809"/>
    <w:rsid w:val="012924F8"/>
    <w:rsid w:val="01FA64F9"/>
    <w:rsid w:val="021765EB"/>
    <w:rsid w:val="02256FA2"/>
    <w:rsid w:val="041260FD"/>
    <w:rsid w:val="07961379"/>
    <w:rsid w:val="07E61FE0"/>
    <w:rsid w:val="0A445B09"/>
    <w:rsid w:val="0A6571F9"/>
    <w:rsid w:val="0B710115"/>
    <w:rsid w:val="0C3C2B33"/>
    <w:rsid w:val="0D966FE9"/>
    <w:rsid w:val="0E2E39FA"/>
    <w:rsid w:val="0E87113A"/>
    <w:rsid w:val="11967974"/>
    <w:rsid w:val="13212A1D"/>
    <w:rsid w:val="1427501E"/>
    <w:rsid w:val="14BE0287"/>
    <w:rsid w:val="15174A4D"/>
    <w:rsid w:val="15815284"/>
    <w:rsid w:val="1667784B"/>
    <w:rsid w:val="16F009CD"/>
    <w:rsid w:val="17505B59"/>
    <w:rsid w:val="177C6B07"/>
    <w:rsid w:val="18293FED"/>
    <w:rsid w:val="18E277D0"/>
    <w:rsid w:val="19B20BA8"/>
    <w:rsid w:val="19FE6D80"/>
    <w:rsid w:val="1A337287"/>
    <w:rsid w:val="1AE357ED"/>
    <w:rsid w:val="1B504DB8"/>
    <w:rsid w:val="21096B0A"/>
    <w:rsid w:val="22887B51"/>
    <w:rsid w:val="26BF5B16"/>
    <w:rsid w:val="29A14CAF"/>
    <w:rsid w:val="2AF14141"/>
    <w:rsid w:val="2D0A3452"/>
    <w:rsid w:val="2E217829"/>
    <w:rsid w:val="30EC588F"/>
    <w:rsid w:val="310A031E"/>
    <w:rsid w:val="3279335C"/>
    <w:rsid w:val="3726455D"/>
    <w:rsid w:val="3C9E2C28"/>
    <w:rsid w:val="3D5138D8"/>
    <w:rsid w:val="3DAE1618"/>
    <w:rsid w:val="3EFD5A7C"/>
    <w:rsid w:val="414A5F71"/>
    <w:rsid w:val="41634340"/>
    <w:rsid w:val="41EE675D"/>
    <w:rsid w:val="443C0481"/>
    <w:rsid w:val="456C47AE"/>
    <w:rsid w:val="47AF6127"/>
    <w:rsid w:val="4C915E13"/>
    <w:rsid w:val="4D4A2E07"/>
    <w:rsid w:val="506B197B"/>
    <w:rsid w:val="50A774FB"/>
    <w:rsid w:val="57CC4330"/>
    <w:rsid w:val="5B861EAB"/>
    <w:rsid w:val="5BBE50CA"/>
    <w:rsid w:val="5CAD5F76"/>
    <w:rsid w:val="5E6977EA"/>
    <w:rsid w:val="5EBD7073"/>
    <w:rsid w:val="5FBA53EE"/>
    <w:rsid w:val="607F77DB"/>
    <w:rsid w:val="638850CD"/>
    <w:rsid w:val="63B00AF8"/>
    <w:rsid w:val="65256310"/>
    <w:rsid w:val="67C45DD4"/>
    <w:rsid w:val="6BC556CC"/>
    <w:rsid w:val="6D8B6DD7"/>
    <w:rsid w:val="700E2520"/>
    <w:rsid w:val="74455154"/>
    <w:rsid w:val="75EF0DD4"/>
    <w:rsid w:val="79EE1F7A"/>
    <w:rsid w:val="7CBA795B"/>
    <w:rsid w:val="7D4B713E"/>
    <w:rsid w:val="7DA3599B"/>
    <w:rsid w:val="7F1174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35"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8"/>
    <w:qFormat/>
    <w:uiPriority w:val="0"/>
    <w:pPr>
      <w:keepNext/>
      <w:keepLines/>
      <w:spacing w:before="340" w:after="330" w:line="576" w:lineRule="auto"/>
      <w:jc w:val="center"/>
      <w:outlineLvl w:val="0"/>
    </w:pPr>
    <w:rPr>
      <w:b/>
      <w:bCs/>
      <w:kern w:val="44"/>
      <w:sz w:val="44"/>
      <w:szCs w:val="44"/>
    </w:rPr>
  </w:style>
  <w:style w:type="paragraph" w:styleId="4">
    <w:name w:val="heading 2"/>
    <w:basedOn w:val="1"/>
    <w:next w:val="1"/>
    <w:link w:val="69"/>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70"/>
    <w:qFormat/>
    <w:uiPriority w:val="99"/>
    <w:pPr>
      <w:keepNext/>
      <w:keepLines/>
      <w:spacing w:before="20" w:after="20" w:line="415" w:lineRule="auto"/>
      <w:ind w:firstLine="137" w:firstLineChars="49"/>
      <w:outlineLvl w:val="2"/>
    </w:pPr>
    <w:rPr>
      <w:rFonts w:hAnsi="黑体" w:eastAsia="黑体"/>
      <w:sz w:val="24"/>
      <w:szCs w:val="20"/>
    </w:rPr>
  </w:style>
  <w:style w:type="paragraph" w:styleId="6">
    <w:name w:val="heading 4"/>
    <w:basedOn w:val="1"/>
    <w:next w:val="1"/>
    <w:link w:val="71"/>
    <w:qFormat/>
    <w:uiPriority w:val="99"/>
    <w:pPr>
      <w:keepNext/>
      <w:keepLines/>
      <w:spacing w:before="280" w:after="290" w:line="374" w:lineRule="auto"/>
      <w:outlineLvl w:val="3"/>
    </w:pPr>
    <w:rPr>
      <w:rFonts w:hint="eastAsia" w:ascii="Cambria" w:hAnsi="Cambria"/>
      <w:b/>
      <w:sz w:val="28"/>
      <w:szCs w:val="20"/>
    </w:rPr>
  </w:style>
  <w:style w:type="paragraph" w:styleId="7">
    <w:name w:val="heading 5"/>
    <w:basedOn w:val="1"/>
    <w:next w:val="1"/>
    <w:link w:val="72"/>
    <w:qFormat/>
    <w:uiPriority w:val="9"/>
    <w:pPr>
      <w:keepNext/>
      <w:keepLines/>
      <w:spacing w:before="280" w:after="290" w:line="376" w:lineRule="auto"/>
      <w:outlineLvl w:val="4"/>
    </w:pPr>
    <w:rPr>
      <w:b/>
      <w:bCs/>
      <w:sz w:val="28"/>
      <w:szCs w:val="28"/>
    </w:rPr>
  </w:style>
  <w:style w:type="paragraph" w:styleId="8">
    <w:name w:val="heading 6"/>
    <w:basedOn w:val="1"/>
    <w:next w:val="1"/>
    <w:link w:val="73"/>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link w:val="74"/>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link w:val="75"/>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link w:val="76"/>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51">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85"/>
    <w:qFormat/>
    <w:uiPriority w:val="0"/>
    <w:pPr>
      <w:spacing w:line="420" w:lineRule="exact"/>
      <w:ind w:firstLine="525"/>
    </w:pPr>
    <w:rPr>
      <w:rFonts w:ascii="宋体"/>
      <w:szCs w:val="20"/>
    </w:rPr>
  </w:style>
  <w:style w:type="paragraph" w:styleId="12">
    <w:name w:val="toc 7"/>
    <w:basedOn w:val="1"/>
    <w:next w:val="1"/>
    <w:qFormat/>
    <w:uiPriority w:val="39"/>
    <w:pPr>
      <w:ind w:left="2520" w:leftChars="1200"/>
    </w:pPr>
  </w:style>
  <w:style w:type="paragraph" w:styleId="13">
    <w:name w:val="List Number"/>
    <w:basedOn w:val="1"/>
    <w:qFormat/>
    <w:uiPriority w:val="0"/>
    <w:pPr>
      <w:widowControl/>
      <w:numPr>
        <w:ilvl w:val="0"/>
        <w:numId w:val="1"/>
      </w:numPr>
      <w:tabs>
        <w:tab w:val="left" w:pos="454"/>
        <w:tab w:val="left" w:pos="720"/>
      </w:tabs>
      <w:spacing w:afterLines="50"/>
      <w:ind w:left="454" w:hanging="284"/>
      <w:jc w:val="left"/>
    </w:pPr>
    <w:rPr>
      <w:kern w:val="0"/>
      <w:sz w:val="24"/>
      <w:szCs w:val="20"/>
    </w:rPr>
  </w:style>
  <w:style w:type="paragraph" w:styleId="14">
    <w:name w:val="Normal Indent"/>
    <w:basedOn w:val="1"/>
    <w:link w:val="77"/>
    <w:qFormat/>
    <w:uiPriority w:val="0"/>
    <w:pPr>
      <w:ind w:firstLine="420"/>
    </w:pPr>
    <w:rPr>
      <w:b/>
      <w:sz w:val="24"/>
      <w:szCs w:val="20"/>
    </w:rPr>
  </w:style>
  <w:style w:type="paragraph" w:styleId="15">
    <w:name w:val="caption"/>
    <w:basedOn w:val="1"/>
    <w:next w:val="1"/>
    <w:qFormat/>
    <w:uiPriority w:val="35"/>
    <w:rPr>
      <w:rFonts w:ascii="Cambria" w:hAnsi="Cambria" w:eastAsia="黑体"/>
      <w:sz w:val="20"/>
      <w:szCs w:val="20"/>
    </w:rPr>
  </w:style>
  <w:style w:type="paragraph" w:styleId="16">
    <w:name w:val="Document Map"/>
    <w:basedOn w:val="1"/>
    <w:link w:val="78"/>
    <w:qFormat/>
    <w:uiPriority w:val="0"/>
    <w:pPr>
      <w:shd w:val="clear" w:color="auto" w:fill="000080"/>
    </w:pPr>
  </w:style>
  <w:style w:type="paragraph" w:styleId="17">
    <w:name w:val="annotation text"/>
    <w:basedOn w:val="1"/>
    <w:link w:val="79"/>
    <w:unhideWhenUsed/>
    <w:qFormat/>
    <w:uiPriority w:val="99"/>
    <w:pPr>
      <w:jc w:val="left"/>
    </w:pPr>
    <w:rPr>
      <w:szCs w:val="20"/>
    </w:rPr>
  </w:style>
  <w:style w:type="paragraph" w:styleId="18">
    <w:name w:val="Body Text 3"/>
    <w:basedOn w:val="1"/>
    <w:link w:val="80"/>
    <w:qFormat/>
    <w:uiPriority w:val="0"/>
    <w:rPr>
      <w:rFonts w:ascii="宋体"/>
      <w:sz w:val="24"/>
      <w:szCs w:val="20"/>
    </w:rPr>
  </w:style>
  <w:style w:type="paragraph" w:styleId="19">
    <w:name w:val="Body Text"/>
    <w:basedOn w:val="1"/>
    <w:next w:val="1"/>
    <w:link w:val="81"/>
    <w:qFormat/>
    <w:uiPriority w:val="0"/>
    <w:pPr>
      <w:spacing w:after="120"/>
    </w:pPr>
  </w:style>
  <w:style w:type="paragraph" w:styleId="20">
    <w:name w:val="Body Text Indent"/>
    <w:basedOn w:val="1"/>
    <w:link w:val="82"/>
    <w:qFormat/>
    <w:uiPriority w:val="0"/>
    <w:pPr>
      <w:spacing w:line="360" w:lineRule="auto"/>
      <w:ind w:firstLine="420"/>
    </w:pPr>
    <w:rPr>
      <w:rFonts w:ascii="宋体"/>
      <w:sz w:val="24"/>
      <w:szCs w:val="20"/>
    </w:rPr>
  </w:style>
  <w:style w:type="paragraph" w:styleId="21">
    <w:name w:val="List Number 3"/>
    <w:basedOn w:val="1"/>
    <w:qFormat/>
    <w:uiPriority w:val="0"/>
    <w:pPr>
      <w:numPr>
        <w:ilvl w:val="0"/>
        <w:numId w:val="2"/>
      </w:numPr>
      <w:tabs>
        <w:tab w:val="left" w:pos="1200"/>
      </w:tabs>
    </w:pPr>
  </w:style>
  <w:style w:type="paragraph" w:styleId="22">
    <w:name w:val="List 2"/>
    <w:basedOn w:val="1"/>
    <w:qFormat/>
    <w:uiPriority w:val="0"/>
    <w:pPr>
      <w:ind w:left="100" w:leftChars="200" w:hanging="200" w:hangingChars="200"/>
    </w:pPr>
    <w:rPr>
      <w:sz w:val="28"/>
    </w:rPr>
  </w:style>
  <w:style w:type="paragraph" w:styleId="23">
    <w:name w:val="index 4"/>
    <w:basedOn w:val="1"/>
    <w:next w:val="1"/>
    <w:unhideWhenUsed/>
    <w:qFormat/>
    <w:uiPriority w:val="99"/>
    <w:pPr>
      <w:spacing w:line="440" w:lineRule="exact"/>
      <w:ind w:left="600" w:leftChars="600"/>
    </w:pPr>
  </w:style>
  <w:style w:type="paragraph" w:styleId="24">
    <w:name w:val="toc 5"/>
    <w:basedOn w:val="1"/>
    <w:next w:val="1"/>
    <w:qFormat/>
    <w:uiPriority w:val="39"/>
    <w:pPr>
      <w:ind w:left="1680" w:leftChars="800"/>
    </w:pPr>
  </w:style>
  <w:style w:type="paragraph" w:styleId="25">
    <w:name w:val="toc 3"/>
    <w:basedOn w:val="1"/>
    <w:next w:val="1"/>
    <w:qFormat/>
    <w:uiPriority w:val="39"/>
    <w:pPr>
      <w:ind w:left="840" w:leftChars="400"/>
      <w:jc w:val="left"/>
    </w:pPr>
  </w:style>
  <w:style w:type="paragraph" w:styleId="26">
    <w:name w:val="Plain Text"/>
    <w:basedOn w:val="1"/>
    <w:link w:val="83"/>
    <w:qFormat/>
    <w:uiPriority w:val="0"/>
    <w:rPr>
      <w:rFonts w:ascii="宋体" w:hAnsi="Courier New"/>
      <w:sz w:val="28"/>
      <w:szCs w:val="20"/>
    </w:rPr>
  </w:style>
  <w:style w:type="paragraph" w:styleId="27">
    <w:name w:val="toc 8"/>
    <w:basedOn w:val="1"/>
    <w:next w:val="1"/>
    <w:qFormat/>
    <w:uiPriority w:val="39"/>
    <w:pPr>
      <w:ind w:left="2940" w:leftChars="1400"/>
    </w:pPr>
  </w:style>
  <w:style w:type="paragraph" w:styleId="28">
    <w:name w:val="Date"/>
    <w:basedOn w:val="1"/>
    <w:next w:val="1"/>
    <w:link w:val="84"/>
    <w:qFormat/>
    <w:uiPriority w:val="0"/>
    <w:pPr>
      <w:ind w:left="100" w:leftChars="2500"/>
    </w:pPr>
  </w:style>
  <w:style w:type="paragraph" w:styleId="29">
    <w:name w:val="Balloon Text"/>
    <w:basedOn w:val="1"/>
    <w:link w:val="86"/>
    <w:unhideWhenUsed/>
    <w:qFormat/>
    <w:uiPriority w:val="99"/>
    <w:rPr>
      <w:sz w:val="18"/>
      <w:szCs w:val="18"/>
    </w:rPr>
  </w:style>
  <w:style w:type="paragraph" w:styleId="30">
    <w:name w:val="footer"/>
    <w:basedOn w:val="1"/>
    <w:link w:val="87"/>
    <w:qFormat/>
    <w:uiPriority w:val="0"/>
    <w:pPr>
      <w:tabs>
        <w:tab w:val="center" w:pos="4153"/>
        <w:tab w:val="right" w:pos="8306"/>
      </w:tabs>
      <w:snapToGrid w:val="0"/>
      <w:jc w:val="left"/>
    </w:pPr>
    <w:rPr>
      <w:sz w:val="18"/>
      <w:szCs w:val="20"/>
    </w:rPr>
  </w:style>
  <w:style w:type="paragraph" w:styleId="31">
    <w:name w:val="header"/>
    <w:basedOn w:val="1"/>
    <w:link w:val="8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20"/>
    </w:rPr>
  </w:style>
  <w:style w:type="paragraph" w:styleId="32">
    <w:name w:val="toc 1"/>
    <w:basedOn w:val="1"/>
    <w:next w:val="1"/>
    <w:qFormat/>
    <w:uiPriority w:val="39"/>
    <w:pPr>
      <w:jc w:val="left"/>
    </w:pPr>
  </w:style>
  <w:style w:type="paragraph" w:styleId="33">
    <w:name w:val="toc 4"/>
    <w:basedOn w:val="1"/>
    <w:next w:val="1"/>
    <w:qFormat/>
    <w:uiPriority w:val="39"/>
    <w:pPr>
      <w:ind w:left="1260" w:leftChars="600"/>
    </w:pPr>
  </w:style>
  <w:style w:type="paragraph" w:styleId="34">
    <w:name w:val="Subtitle"/>
    <w:basedOn w:val="1"/>
    <w:next w:val="1"/>
    <w:link w:val="89"/>
    <w:qFormat/>
    <w:uiPriority w:val="11"/>
    <w:pPr>
      <w:spacing w:before="240" w:after="60" w:line="312" w:lineRule="auto"/>
      <w:jc w:val="center"/>
      <w:outlineLvl w:val="1"/>
    </w:pPr>
    <w:rPr>
      <w:rFonts w:ascii="Cambria" w:hAnsi="Cambria"/>
      <w:b/>
      <w:bCs/>
      <w:kern w:val="28"/>
      <w:sz w:val="32"/>
      <w:szCs w:val="32"/>
    </w:rPr>
  </w:style>
  <w:style w:type="paragraph" w:styleId="35">
    <w:name w:val="List"/>
    <w:basedOn w:val="1"/>
    <w:qFormat/>
    <w:uiPriority w:val="0"/>
    <w:pPr>
      <w:ind w:left="200" w:hanging="200" w:hangingChars="200"/>
    </w:pPr>
    <w:rPr>
      <w:sz w:val="28"/>
    </w:rPr>
  </w:style>
  <w:style w:type="paragraph" w:styleId="36">
    <w:name w:val="footnote text"/>
    <w:basedOn w:val="1"/>
    <w:link w:val="90"/>
    <w:qFormat/>
    <w:uiPriority w:val="0"/>
    <w:rPr>
      <w:sz w:val="20"/>
      <w:szCs w:val="20"/>
    </w:rPr>
  </w:style>
  <w:style w:type="paragraph" w:styleId="37">
    <w:name w:val="toc 6"/>
    <w:basedOn w:val="1"/>
    <w:next w:val="1"/>
    <w:qFormat/>
    <w:uiPriority w:val="39"/>
    <w:pPr>
      <w:ind w:left="2100" w:leftChars="1000"/>
    </w:pPr>
  </w:style>
  <w:style w:type="paragraph" w:styleId="38">
    <w:name w:val="Body Text Indent 3"/>
    <w:basedOn w:val="1"/>
    <w:link w:val="91"/>
    <w:qFormat/>
    <w:uiPriority w:val="0"/>
    <w:pPr>
      <w:spacing w:after="120"/>
      <w:ind w:left="420" w:leftChars="200"/>
    </w:pPr>
    <w:rPr>
      <w:sz w:val="16"/>
      <w:szCs w:val="16"/>
    </w:rPr>
  </w:style>
  <w:style w:type="paragraph" w:styleId="39">
    <w:name w:val="table of figures"/>
    <w:basedOn w:val="1"/>
    <w:next w:val="1"/>
    <w:qFormat/>
    <w:uiPriority w:val="0"/>
    <w:pPr>
      <w:ind w:left="200" w:leftChars="200" w:hanging="200" w:hangingChars="200"/>
    </w:pPr>
  </w:style>
  <w:style w:type="paragraph" w:styleId="40">
    <w:name w:val="toc 2"/>
    <w:basedOn w:val="1"/>
    <w:next w:val="1"/>
    <w:qFormat/>
    <w:uiPriority w:val="39"/>
    <w:pPr>
      <w:ind w:left="420" w:leftChars="200"/>
      <w:jc w:val="left"/>
    </w:pPr>
  </w:style>
  <w:style w:type="paragraph" w:styleId="41">
    <w:name w:val="toc 9"/>
    <w:basedOn w:val="1"/>
    <w:next w:val="1"/>
    <w:qFormat/>
    <w:uiPriority w:val="39"/>
    <w:pPr>
      <w:ind w:left="3360" w:leftChars="1600"/>
    </w:pPr>
  </w:style>
  <w:style w:type="paragraph" w:styleId="42">
    <w:name w:val="Body Text 2"/>
    <w:basedOn w:val="1"/>
    <w:link w:val="92"/>
    <w:qFormat/>
    <w:uiPriority w:val="0"/>
    <w:pPr>
      <w:widowControl/>
      <w:snapToGrid w:val="0"/>
      <w:spacing w:before="50" w:afterLines="50" w:line="400" w:lineRule="exact"/>
      <w:jc w:val="left"/>
    </w:pPr>
    <w:rPr>
      <w:rFonts w:ascii="宋体" w:hAnsi="宋体"/>
      <w:color w:val="000000"/>
      <w:sz w:val="24"/>
    </w:rPr>
  </w:style>
  <w:style w:type="paragraph" w:styleId="43">
    <w:name w:val="List Continue 2"/>
    <w:basedOn w:val="1"/>
    <w:qFormat/>
    <w:uiPriority w:val="0"/>
    <w:pPr>
      <w:spacing w:after="120"/>
      <w:ind w:left="840"/>
    </w:pPr>
  </w:style>
  <w:style w:type="paragraph" w:styleId="4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5">
    <w:name w:val="Title"/>
    <w:basedOn w:val="1"/>
    <w:next w:val="1"/>
    <w:link w:val="183"/>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6">
    <w:name w:val="annotation subject"/>
    <w:basedOn w:val="17"/>
    <w:next w:val="17"/>
    <w:link w:val="94"/>
    <w:qFormat/>
    <w:uiPriority w:val="0"/>
    <w:rPr>
      <w:b/>
      <w:bCs/>
      <w:szCs w:val="24"/>
    </w:rPr>
  </w:style>
  <w:style w:type="paragraph" w:styleId="47">
    <w:name w:val="Body Text First Indent"/>
    <w:basedOn w:val="1"/>
    <w:link w:val="95"/>
    <w:unhideWhenUsed/>
    <w:qFormat/>
    <w:uiPriority w:val="99"/>
    <w:pPr>
      <w:ind w:firstLine="420" w:firstLineChars="100"/>
    </w:pPr>
  </w:style>
  <w:style w:type="table" w:styleId="49">
    <w:name w:val="Table Grid"/>
    <w:basedOn w:val="48"/>
    <w:unhideWhenUsed/>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0">
    <w:name w:val="Light List Accent 5"/>
    <w:basedOn w:val="48"/>
    <w:qFormat/>
    <w:uiPriority w:val="61"/>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5"/>
      </w:tcPr>
    </w:tblStylePr>
    <w:tblStylePr w:type="lastRow">
      <w:pPr>
        <w:spacing w:before="0" w:after="0" w:line="24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character" w:styleId="52">
    <w:name w:val="Strong"/>
    <w:qFormat/>
    <w:uiPriority w:val="22"/>
    <w:rPr>
      <w:b/>
      <w:bCs/>
    </w:rPr>
  </w:style>
  <w:style w:type="character" w:styleId="53">
    <w:name w:val="page number"/>
    <w:qFormat/>
    <w:uiPriority w:val="0"/>
  </w:style>
  <w:style w:type="character" w:styleId="54">
    <w:name w:val="FollowedHyperlink"/>
    <w:qFormat/>
    <w:uiPriority w:val="0"/>
    <w:rPr>
      <w:color w:val="800080"/>
      <w:u w:val="none"/>
    </w:rPr>
  </w:style>
  <w:style w:type="character" w:styleId="55">
    <w:name w:val="Emphasis"/>
    <w:qFormat/>
    <w:uiPriority w:val="20"/>
    <w:rPr>
      <w:i/>
      <w:iCs/>
    </w:rPr>
  </w:style>
  <w:style w:type="character" w:styleId="56">
    <w:name w:val="HTML Definition"/>
    <w:basedOn w:val="51"/>
    <w:semiHidden/>
    <w:unhideWhenUsed/>
    <w:qFormat/>
    <w:uiPriority w:val="99"/>
  </w:style>
  <w:style w:type="character" w:styleId="57">
    <w:name w:val="HTML Typewriter"/>
    <w:basedOn w:val="51"/>
    <w:semiHidden/>
    <w:unhideWhenUsed/>
    <w:qFormat/>
    <w:uiPriority w:val="99"/>
    <w:rPr>
      <w:rFonts w:hint="default" w:ascii="monospace" w:hAnsi="monospace" w:eastAsia="monospace" w:cs="monospace"/>
      <w:sz w:val="20"/>
    </w:rPr>
  </w:style>
  <w:style w:type="character" w:styleId="58">
    <w:name w:val="HTML Acronym"/>
    <w:basedOn w:val="51"/>
    <w:semiHidden/>
    <w:unhideWhenUsed/>
    <w:qFormat/>
    <w:uiPriority w:val="99"/>
  </w:style>
  <w:style w:type="character" w:styleId="59">
    <w:name w:val="HTML Variable"/>
    <w:basedOn w:val="51"/>
    <w:semiHidden/>
    <w:unhideWhenUsed/>
    <w:qFormat/>
    <w:uiPriority w:val="99"/>
  </w:style>
  <w:style w:type="character" w:styleId="60">
    <w:name w:val="Hyperlink"/>
    <w:qFormat/>
    <w:uiPriority w:val="99"/>
    <w:rPr>
      <w:color w:val="0000FF"/>
      <w:u w:val="none"/>
    </w:rPr>
  </w:style>
  <w:style w:type="character" w:styleId="61">
    <w:name w:val="HTML Code"/>
    <w:basedOn w:val="51"/>
    <w:semiHidden/>
    <w:unhideWhenUsed/>
    <w:qFormat/>
    <w:uiPriority w:val="99"/>
    <w:rPr>
      <w:rFonts w:ascii="monospace" w:hAnsi="monospace" w:eastAsia="monospace" w:cs="monospace"/>
      <w:sz w:val="20"/>
    </w:rPr>
  </w:style>
  <w:style w:type="character" w:styleId="62">
    <w:name w:val="annotation reference"/>
    <w:qFormat/>
    <w:uiPriority w:val="0"/>
    <w:rPr>
      <w:sz w:val="21"/>
      <w:szCs w:val="21"/>
    </w:rPr>
  </w:style>
  <w:style w:type="character" w:styleId="63">
    <w:name w:val="HTML Cite"/>
    <w:basedOn w:val="51"/>
    <w:semiHidden/>
    <w:unhideWhenUsed/>
    <w:qFormat/>
    <w:uiPriority w:val="99"/>
  </w:style>
  <w:style w:type="character" w:styleId="64">
    <w:name w:val="footnote reference"/>
    <w:qFormat/>
    <w:uiPriority w:val="0"/>
    <w:rPr>
      <w:vertAlign w:val="superscript"/>
    </w:rPr>
  </w:style>
  <w:style w:type="character" w:styleId="65">
    <w:name w:val="HTML Keyboard"/>
    <w:basedOn w:val="51"/>
    <w:semiHidden/>
    <w:unhideWhenUsed/>
    <w:qFormat/>
    <w:uiPriority w:val="99"/>
    <w:rPr>
      <w:rFonts w:hint="default" w:ascii="monospace" w:hAnsi="monospace" w:eastAsia="monospace" w:cs="monospace"/>
      <w:sz w:val="20"/>
    </w:rPr>
  </w:style>
  <w:style w:type="character" w:styleId="66">
    <w:name w:val="HTML Sample"/>
    <w:basedOn w:val="51"/>
    <w:semiHidden/>
    <w:unhideWhenUsed/>
    <w:qFormat/>
    <w:uiPriority w:val="99"/>
    <w:rPr>
      <w:rFonts w:hint="default" w:ascii="monospace" w:hAnsi="monospace" w:eastAsia="monospace" w:cs="monospace"/>
    </w:rPr>
  </w:style>
  <w:style w:type="paragraph" w:customStyle="1" w:styleId="67">
    <w:name w:val="段"/>
    <w:next w:val="1"/>
    <w:qFormat/>
    <w:uiPriority w:val="0"/>
    <w:pPr>
      <w:autoSpaceDE w:val="0"/>
      <w:autoSpaceDN w:val="0"/>
      <w:ind w:firstLine="200"/>
      <w:jc w:val="both"/>
    </w:pPr>
    <w:rPr>
      <w:rFonts w:ascii="宋体" w:hAnsi="Times New Roman" w:eastAsia="宋体" w:cs="Times New Roman"/>
      <w:sz w:val="21"/>
      <w:szCs w:val="22"/>
      <w:lang w:val="en-US" w:eastAsia="zh-CN" w:bidi="ar-SA"/>
    </w:rPr>
  </w:style>
  <w:style w:type="character" w:customStyle="1" w:styleId="68">
    <w:name w:val="标题 1 字符1"/>
    <w:basedOn w:val="51"/>
    <w:link w:val="3"/>
    <w:qFormat/>
    <w:uiPriority w:val="0"/>
    <w:rPr>
      <w:rFonts w:ascii="Times New Roman" w:hAnsi="Times New Roman" w:eastAsia="宋体" w:cs="Times New Roman"/>
      <w:b/>
      <w:bCs/>
      <w:kern w:val="44"/>
      <w:sz w:val="44"/>
      <w:szCs w:val="44"/>
    </w:rPr>
  </w:style>
  <w:style w:type="character" w:customStyle="1" w:styleId="69">
    <w:name w:val="标题 2 字符2"/>
    <w:basedOn w:val="51"/>
    <w:link w:val="4"/>
    <w:qFormat/>
    <w:uiPriority w:val="0"/>
    <w:rPr>
      <w:rFonts w:ascii="Arial" w:hAnsi="Arial" w:eastAsia="黑体" w:cs="Times New Roman"/>
      <w:b/>
      <w:bCs/>
      <w:sz w:val="32"/>
      <w:szCs w:val="32"/>
    </w:rPr>
  </w:style>
  <w:style w:type="character" w:customStyle="1" w:styleId="70">
    <w:name w:val="标题 3 字符2"/>
    <w:basedOn w:val="51"/>
    <w:link w:val="5"/>
    <w:qFormat/>
    <w:uiPriority w:val="99"/>
    <w:rPr>
      <w:rFonts w:ascii="Times New Roman" w:hAnsi="黑体" w:eastAsia="黑体" w:cs="Times New Roman"/>
      <w:sz w:val="24"/>
      <w:szCs w:val="20"/>
    </w:rPr>
  </w:style>
  <w:style w:type="character" w:customStyle="1" w:styleId="71">
    <w:name w:val="标题 4 字符1"/>
    <w:basedOn w:val="51"/>
    <w:link w:val="6"/>
    <w:qFormat/>
    <w:uiPriority w:val="99"/>
    <w:rPr>
      <w:rFonts w:ascii="Cambria" w:hAnsi="Cambria" w:eastAsia="宋体" w:cs="Times New Roman"/>
      <w:b/>
      <w:sz w:val="28"/>
      <w:szCs w:val="20"/>
    </w:rPr>
  </w:style>
  <w:style w:type="character" w:customStyle="1" w:styleId="72">
    <w:name w:val="标题 5 字符1"/>
    <w:basedOn w:val="51"/>
    <w:link w:val="7"/>
    <w:qFormat/>
    <w:uiPriority w:val="0"/>
    <w:rPr>
      <w:rFonts w:ascii="Times New Roman" w:hAnsi="Times New Roman" w:eastAsia="宋体" w:cs="Times New Roman"/>
      <w:b/>
      <w:bCs/>
      <w:sz w:val="28"/>
      <w:szCs w:val="28"/>
    </w:rPr>
  </w:style>
  <w:style w:type="character" w:customStyle="1" w:styleId="73">
    <w:name w:val="标题 6 字符1"/>
    <w:basedOn w:val="51"/>
    <w:link w:val="8"/>
    <w:qFormat/>
    <w:uiPriority w:val="0"/>
    <w:rPr>
      <w:rFonts w:ascii="Arial" w:hAnsi="Arial" w:eastAsia="黑体" w:cs="Times New Roman"/>
      <w:b/>
      <w:bCs/>
      <w:kern w:val="0"/>
      <w:sz w:val="24"/>
    </w:rPr>
  </w:style>
  <w:style w:type="character" w:customStyle="1" w:styleId="74">
    <w:name w:val="标题 7 字符1"/>
    <w:basedOn w:val="51"/>
    <w:link w:val="9"/>
    <w:qFormat/>
    <w:uiPriority w:val="0"/>
    <w:rPr>
      <w:rFonts w:ascii="Times New Roman" w:hAnsi="Times New Roman" w:eastAsia="宋体" w:cs="Times New Roman"/>
      <w:b/>
      <w:bCs/>
      <w:kern w:val="0"/>
      <w:sz w:val="24"/>
    </w:rPr>
  </w:style>
  <w:style w:type="character" w:customStyle="1" w:styleId="75">
    <w:name w:val="标题 8 字符1"/>
    <w:basedOn w:val="51"/>
    <w:link w:val="10"/>
    <w:qFormat/>
    <w:uiPriority w:val="0"/>
    <w:rPr>
      <w:rFonts w:ascii="Arial" w:hAnsi="Arial" w:eastAsia="黑体" w:cs="Times New Roman"/>
      <w:kern w:val="0"/>
      <w:sz w:val="24"/>
    </w:rPr>
  </w:style>
  <w:style w:type="character" w:customStyle="1" w:styleId="76">
    <w:name w:val="标题 9 字符1"/>
    <w:basedOn w:val="51"/>
    <w:link w:val="11"/>
    <w:qFormat/>
    <w:uiPriority w:val="0"/>
    <w:rPr>
      <w:rFonts w:ascii="Arial" w:hAnsi="Arial" w:eastAsia="黑体" w:cs="Times New Roman"/>
      <w:kern w:val="0"/>
      <w:szCs w:val="21"/>
    </w:rPr>
  </w:style>
  <w:style w:type="character" w:customStyle="1" w:styleId="77">
    <w:name w:val="正文缩进 字符1"/>
    <w:link w:val="14"/>
    <w:qFormat/>
    <w:uiPriority w:val="0"/>
    <w:rPr>
      <w:rFonts w:ascii="Times New Roman" w:hAnsi="Times New Roman" w:eastAsia="宋体" w:cs="Times New Roman"/>
      <w:b/>
      <w:sz w:val="24"/>
      <w:szCs w:val="20"/>
    </w:rPr>
  </w:style>
  <w:style w:type="character" w:customStyle="1" w:styleId="78">
    <w:name w:val="文档结构图 字符1"/>
    <w:basedOn w:val="51"/>
    <w:link w:val="16"/>
    <w:qFormat/>
    <w:uiPriority w:val="0"/>
    <w:rPr>
      <w:rFonts w:ascii="Times New Roman" w:hAnsi="Times New Roman" w:eastAsia="宋体" w:cs="Times New Roman"/>
      <w:shd w:val="clear" w:color="auto" w:fill="000080"/>
    </w:rPr>
  </w:style>
  <w:style w:type="character" w:customStyle="1" w:styleId="79">
    <w:name w:val="批注文字 字符1"/>
    <w:basedOn w:val="51"/>
    <w:link w:val="17"/>
    <w:qFormat/>
    <w:uiPriority w:val="99"/>
    <w:rPr>
      <w:rFonts w:ascii="Times New Roman" w:hAnsi="Times New Roman" w:eastAsia="宋体" w:cs="Times New Roman"/>
      <w:szCs w:val="20"/>
    </w:rPr>
  </w:style>
  <w:style w:type="character" w:customStyle="1" w:styleId="80">
    <w:name w:val="正文文本 3 字符1"/>
    <w:basedOn w:val="51"/>
    <w:link w:val="18"/>
    <w:qFormat/>
    <w:uiPriority w:val="0"/>
    <w:rPr>
      <w:rFonts w:ascii="宋体" w:hAnsi="Times New Roman" w:eastAsia="宋体" w:cs="Times New Roman"/>
      <w:sz w:val="24"/>
      <w:szCs w:val="20"/>
    </w:rPr>
  </w:style>
  <w:style w:type="character" w:customStyle="1" w:styleId="81">
    <w:name w:val="正文文本 字符1"/>
    <w:basedOn w:val="51"/>
    <w:link w:val="19"/>
    <w:qFormat/>
    <w:uiPriority w:val="99"/>
    <w:rPr>
      <w:rFonts w:ascii="Times New Roman" w:hAnsi="Times New Roman" w:eastAsia="宋体" w:cs="Times New Roman"/>
    </w:rPr>
  </w:style>
  <w:style w:type="character" w:customStyle="1" w:styleId="82">
    <w:name w:val="正文文本缩进 字符1"/>
    <w:basedOn w:val="51"/>
    <w:link w:val="20"/>
    <w:qFormat/>
    <w:uiPriority w:val="0"/>
    <w:rPr>
      <w:rFonts w:ascii="宋体" w:hAnsi="Times New Roman" w:eastAsia="宋体" w:cs="Times New Roman"/>
      <w:sz w:val="24"/>
      <w:szCs w:val="20"/>
    </w:rPr>
  </w:style>
  <w:style w:type="character" w:customStyle="1" w:styleId="83">
    <w:name w:val="纯文本 字符1"/>
    <w:basedOn w:val="51"/>
    <w:link w:val="26"/>
    <w:qFormat/>
    <w:uiPriority w:val="0"/>
    <w:rPr>
      <w:rFonts w:ascii="宋体" w:hAnsi="Courier New" w:eastAsia="宋体" w:cs="Times New Roman"/>
      <w:sz w:val="28"/>
      <w:szCs w:val="20"/>
    </w:rPr>
  </w:style>
  <w:style w:type="character" w:customStyle="1" w:styleId="84">
    <w:name w:val="日期 字符"/>
    <w:basedOn w:val="51"/>
    <w:link w:val="28"/>
    <w:qFormat/>
    <w:uiPriority w:val="0"/>
    <w:rPr>
      <w:rFonts w:ascii="Times New Roman" w:hAnsi="Times New Roman" w:eastAsia="宋体" w:cs="Times New Roman"/>
    </w:rPr>
  </w:style>
  <w:style w:type="character" w:customStyle="1" w:styleId="85">
    <w:name w:val="正文文本缩进 2 字符1"/>
    <w:basedOn w:val="51"/>
    <w:link w:val="2"/>
    <w:qFormat/>
    <w:uiPriority w:val="0"/>
    <w:rPr>
      <w:rFonts w:ascii="宋体" w:hAnsi="Times New Roman" w:eastAsia="宋体" w:cs="Times New Roman"/>
      <w:szCs w:val="20"/>
    </w:rPr>
  </w:style>
  <w:style w:type="character" w:customStyle="1" w:styleId="86">
    <w:name w:val="批注框文本 字符1"/>
    <w:basedOn w:val="51"/>
    <w:link w:val="29"/>
    <w:qFormat/>
    <w:uiPriority w:val="99"/>
    <w:rPr>
      <w:rFonts w:ascii="Times New Roman" w:hAnsi="Times New Roman" w:eastAsia="宋体" w:cs="Times New Roman"/>
      <w:sz w:val="18"/>
      <w:szCs w:val="18"/>
    </w:rPr>
  </w:style>
  <w:style w:type="character" w:customStyle="1" w:styleId="87">
    <w:name w:val="页脚 字符1"/>
    <w:basedOn w:val="51"/>
    <w:link w:val="30"/>
    <w:qFormat/>
    <w:uiPriority w:val="99"/>
    <w:rPr>
      <w:rFonts w:ascii="Times New Roman" w:hAnsi="Times New Roman" w:eastAsia="宋体" w:cs="Times New Roman"/>
      <w:sz w:val="18"/>
      <w:szCs w:val="20"/>
    </w:rPr>
  </w:style>
  <w:style w:type="character" w:customStyle="1" w:styleId="88">
    <w:name w:val="页眉 字符1"/>
    <w:basedOn w:val="51"/>
    <w:link w:val="31"/>
    <w:qFormat/>
    <w:uiPriority w:val="99"/>
    <w:rPr>
      <w:rFonts w:ascii="Times New Roman" w:hAnsi="Times New Roman" w:eastAsia="宋体" w:cs="Times New Roman"/>
      <w:sz w:val="18"/>
      <w:szCs w:val="20"/>
    </w:rPr>
  </w:style>
  <w:style w:type="character" w:customStyle="1" w:styleId="89">
    <w:name w:val="副标题 字符1"/>
    <w:basedOn w:val="51"/>
    <w:link w:val="34"/>
    <w:qFormat/>
    <w:uiPriority w:val="11"/>
    <w:rPr>
      <w:rFonts w:ascii="Cambria" w:hAnsi="Cambria" w:eastAsia="宋体" w:cs="Times New Roman"/>
      <w:b/>
      <w:bCs/>
      <w:kern w:val="28"/>
      <w:sz w:val="32"/>
      <w:szCs w:val="32"/>
    </w:rPr>
  </w:style>
  <w:style w:type="character" w:customStyle="1" w:styleId="90">
    <w:name w:val="脚注文本 字符1"/>
    <w:basedOn w:val="51"/>
    <w:link w:val="36"/>
    <w:qFormat/>
    <w:uiPriority w:val="0"/>
    <w:rPr>
      <w:rFonts w:ascii="Times New Roman" w:hAnsi="Times New Roman" w:eastAsia="宋体" w:cs="Times New Roman"/>
      <w:sz w:val="20"/>
      <w:szCs w:val="20"/>
    </w:rPr>
  </w:style>
  <w:style w:type="character" w:customStyle="1" w:styleId="91">
    <w:name w:val="正文文本缩进 3 字符1"/>
    <w:basedOn w:val="51"/>
    <w:link w:val="38"/>
    <w:qFormat/>
    <w:uiPriority w:val="0"/>
    <w:rPr>
      <w:rFonts w:ascii="Times New Roman" w:hAnsi="Times New Roman" w:eastAsia="宋体" w:cs="Times New Roman"/>
      <w:sz w:val="16"/>
      <w:szCs w:val="16"/>
    </w:rPr>
  </w:style>
  <w:style w:type="character" w:customStyle="1" w:styleId="92">
    <w:name w:val="正文文本 2 字符"/>
    <w:basedOn w:val="51"/>
    <w:link w:val="42"/>
    <w:qFormat/>
    <w:uiPriority w:val="0"/>
    <w:rPr>
      <w:rFonts w:ascii="宋体" w:hAnsi="宋体" w:eastAsia="宋体" w:cs="Times New Roman"/>
      <w:color w:val="000000"/>
      <w:sz w:val="24"/>
    </w:rPr>
  </w:style>
  <w:style w:type="character" w:customStyle="1" w:styleId="93">
    <w:name w:val="标题 字符"/>
    <w:basedOn w:val="51"/>
    <w:qFormat/>
    <w:uiPriority w:val="0"/>
    <w:rPr>
      <w:rFonts w:ascii="Arial" w:hAnsi="Arial" w:eastAsia="宋体" w:cs="Times New Roman"/>
      <w:b/>
      <w:kern w:val="0"/>
      <w:sz w:val="32"/>
      <w:szCs w:val="20"/>
    </w:rPr>
  </w:style>
  <w:style w:type="character" w:customStyle="1" w:styleId="94">
    <w:name w:val="批注主题 字符1"/>
    <w:basedOn w:val="79"/>
    <w:link w:val="46"/>
    <w:qFormat/>
    <w:uiPriority w:val="0"/>
    <w:rPr>
      <w:rFonts w:ascii="Times New Roman" w:hAnsi="Times New Roman" w:eastAsia="宋体" w:cs="Times New Roman"/>
      <w:b/>
      <w:bCs/>
      <w:szCs w:val="20"/>
    </w:rPr>
  </w:style>
  <w:style w:type="character" w:customStyle="1" w:styleId="95">
    <w:name w:val="正文文本首行缩进 字符"/>
    <w:basedOn w:val="81"/>
    <w:link w:val="47"/>
    <w:qFormat/>
    <w:uiPriority w:val="99"/>
    <w:rPr>
      <w:rFonts w:ascii="Times New Roman" w:hAnsi="Times New Roman" w:eastAsia="宋体" w:cs="Times New Roman"/>
    </w:rPr>
  </w:style>
  <w:style w:type="character" w:customStyle="1" w:styleId="96">
    <w:name w:val="标题 1 Char_1"/>
    <w:link w:val="97"/>
    <w:qFormat/>
    <w:uiPriority w:val="9"/>
    <w:rPr>
      <w:b/>
      <w:bCs/>
      <w:kern w:val="44"/>
      <w:sz w:val="44"/>
      <w:szCs w:val="44"/>
    </w:rPr>
  </w:style>
  <w:style w:type="paragraph" w:customStyle="1" w:styleId="97">
    <w:name w:val="标题 1_1_0"/>
    <w:basedOn w:val="1"/>
    <w:next w:val="1"/>
    <w:link w:val="96"/>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customStyle="1" w:styleId="98">
    <w:name w:val="不明显参考1"/>
    <w:qFormat/>
    <w:uiPriority w:val="31"/>
    <w:rPr>
      <w:smallCaps/>
      <w:color w:val="C0504D"/>
      <w:u w:val="single"/>
    </w:rPr>
  </w:style>
  <w:style w:type="character" w:customStyle="1" w:styleId="99">
    <w:name w:val="页脚 Char"/>
    <w:qFormat/>
    <w:uiPriority w:val="0"/>
    <w:rPr>
      <w:kern w:val="2"/>
      <w:sz w:val="18"/>
    </w:rPr>
  </w:style>
  <w:style w:type="character" w:customStyle="1" w:styleId="100">
    <w:name w:val="正文文本 (3) + 10 pt"/>
    <w:qFormat/>
    <w:uiPriority w:val="0"/>
    <w:rPr>
      <w:rFonts w:ascii="Times New Roman" w:hAnsi="Times New Roman"/>
      <w:sz w:val="20"/>
      <w:szCs w:val="20"/>
      <w:shd w:val="clear" w:color="auto" w:fill="FFFFFF"/>
      <w:lang w:val="en-US" w:eastAsia="zh-CN"/>
    </w:rPr>
  </w:style>
  <w:style w:type="character" w:customStyle="1" w:styleId="101">
    <w:name w:val="正文文本 (2) + 9 pt"/>
    <w:qFormat/>
    <w:uiPriority w:val="0"/>
    <w:rPr>
      <w:rFonts w:ascii="Times New Roman" w:hAnsi="Times New Roman"/>
      <w:b/>
      <w:bCs/>
      <w:spacing w:val="20"/>
      <w:sz w:val="18"/>
      <w:szCs w:val="18"/>
      <w:shd w:val="clear" w:color="auto" w:fill="FFFFFF"/>
      <w:lang w:val="en-US" w:eastAsia="en-US"/>
    </w:rPr>
  </w:style>
  <w:style w:type="character" w:customStyle="1" w:styleId="102">
    <w:name w:val="正文文本 (4) + 5.5 pt"/>
    <w:qFormat/>
    <w:uiPriority w:val="0"/>
    <w:rPr>
      <w:b/>
      <w:bCs/>
      <w:spacing w:val="0"/>
      <w:sz w:val="11"/>
      <w:szCs w:val="11"/>
      <w:shd w:val="clear" w:color="auto" w:fill="FFFFFF"/>
      <w:lang w:val="en-US" w:eastAsia="en-US"/>
    </w:rPr>
  </w:style>
  <w:style w:type="character" w:customStyle="1" w:styleId="103">
    <w:name w:val="Char Char14"/>
    <w:qFormat/>
    <w:uiPriority w:val="0"/>
    <w:rPr>
      <w:rFonts w:ascii="宋体" w:hAnsi="Courier New" w:eastAsia="楷体_GB2312"/>
      <w:kern w:val="2"/>
      <w:sz w:val="28"/>
      <w:lang w:val="en-US" w:eastAsia="zh-CN" w:bidi="ar-SA"/>
    </w:rPr>
  </w:style>
  <w:style w:type="character" w:customStyle="1" w:styleId="104">
    <w:name w:val="明显强调1"/>
    <w:qFormat/>
    <w:uiPriority w:val="21"/>
    <w:rPr>
      <w:b/>
      <w:bCs/>
      <w:i/>
      <w:iCs/>
      <w:color w:val="4F81BD"/>
    </w:rPr>
  </w:style>
  <w:style w:type="character" w:customStyle="1" w:styleId="105">
    <w:name w:val="正文文本 (2) + 9 pt1"/>
    <w:qFormat/>
    <w:uiPriority w:val="0"/>
    <w:rPr>
      <w:rFonts w:ascii="Times New Roman" w:hAnsi="Times New Roman" w:cs="Times New Roman"/>
      <w:b/>
      <w:bCs/>
      <w:spacing w:val="-20"/>
      <w:sz w:val="18"/>
      <w:szCs w:val="18"/>
      <w:u w:val="none"/>
      <w:shd w:val="clear" w:color="auto" w:fill="FFFFFF"/>
      <w:lang w:val="en-US" w:eastAsia="en-US"/>
    </w:rPr>
  </w:style>
  <w:style w:type="character" w:customStyle="1" w:styleId="106">
    <w:name w:val="Char Char"/>
    <w:qFormat/>
    <w:uiPriority w:val="0"/>
    <w:rPr>
      <w:rFonts w:ascii="Arial" w:hAnsi="Arial" w:eastAsia="黑体"/>
      <w:b/>
      <w:bCs/>
      <w:kern w:val="2"/>
      <w:sz w:val="32"/>
      <w:szCs w:val="32"/>
      <w:lang w:val="en-US" w:eastAsia="zh-CN" w:bidi="ar-SA"/>
    </w:rPr>
  </w:style>
  <w:style w:type="character" w:customStyle="1" w:styleId="107">
    <w:name w:val="正文文本 (4)_"/>
    <w:link w:val="108"/>
    <w:qFormat/>
    <w:locked/>
    <w:uiPriority w:val="0"/>
    <w:rPr>
      <w:b/>
      <w:bCs/>
      <w:spacing w:val="20"/>
      <w:sz w:val="18"/>
      <w:szCs w:val="18"/>
      <w:shd w:val="clear" w:color="auto" w:fill="FFFFFF"/>
      <w:lang w:eastAsia="en-US"/>
    </w:rPr>
  </w:style>
  <w:style w:type="paragraph" w:customStyle="1" w:styleId="108">
    <w:name w:val="正文文本 (4)"/>
    <w:basedOn w:val="1"/>
    <w:link w:val="107"/>
    <w:qFormat/>
    <w:uiPriority w:val="0"/>
    <w:pPr>
      <w:shd w:val="clear" w:color="auto" w:fill="FFFFFF"/>
      <w:spacing w:line="240" w:lineRule="atLeast"/>
      <w:jc w:val="center"/>
    </w:pPr>
    <w:rPr>
      <w:rFonts w:asciiTheme="minorHAnsi" w:hAnsiTheme="minorHAnsi" w:eastAsiaTheme="minorEastAsia" w:cstheme="minorBidi"/>
      <w:b/>
      <w:bCs/>
      <w:spacing w:val="20"/>
      <w:sz w:val="18"/>
      <w:szCs w:val="18"/>
      <w:lang w:eastAsia="en-US"/>
    </w:rPr>
  </w:style>
  <w:style w:type="character" w:customStyle="1" w:styleId="109">
    <w:name w:val="无间隔 字符1"/>
    <w:link w:val="110"/>
    <w:qFormat/>
    <w:uiPriority w:val="1"/>
  </w:style>
  <w:style w:type="paragraph" w:styleId="110">
    <w:name w:val="No Spacing"/>
    <w:link w:val="109"/>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customStyle="1" w:styleId="111">
    <w:name w:val="样式 Char"/>
    <w:link w:val="112"/>
    <w:qFormat/>
    <w:uiPriority w:val="0"/>
    <w:rPr>
      <w:rFonts w:ascii="宋体" w:hAnsi="宋体" w:cs="宋体"/>
      <w:sz w:val="24"/>
    </w:rPr>
  </w:style>
  <w:style w:type="paragraph" w:customStyle="1" w:styleId="112">
    <w:name w:val="样式"/>
    <w:link w:val="111"/>
    <w:qFormat/>
    <w:uiPriority w:val="0"/>
    <w:pPr>
      <w:widowControl w:val="0"/>
      <w:autoSpaceDE w:val="0"/>
      <w:autoSpaceDN w:val="0"/>
      <w:adjustRightInd w:val="0"/>
    </w:pPr>
    <w:rPr>
      <w:rFonts w:ascii="宋体" w:hAnsi="宋体" w:cs="宋体" w:eastAsiaTheme="minorEastAsia"/>
      <w:kern w:val="2"/>
      <w:sz w:val="24"/>
      <w:szCs w:val="24"/>
      <w:lang w:val="en-US" w:eastAsia="zh-CN" w:bidi="ar-SA"/>
    </w:rPr>
  </w:style>
  <w:style w:type="character" w:customStyle="1" w:styleId="113">
    <w:name w:val="font161"/>
    <w:qFormat/>
    <w:uiPriority w:val="0"/>
    <w:rPr>
      <w:b/>
      <w:bCs/>
      <w:sz w:val="32"/>
      <w:szCs w:val="32"/>
    </w:rPr>
  </w:style>
  <w:style w:type="character" w:customStyle="1" w:styleId="114">
    <w:name w:val="不明显强调1"/>
    <w:qFormat/>
    <w:uiPriority w:val="19"/>
    <w:rPr>
      <w:i/>
      <w:iCs/>
      <w:color w:val="808080"/>
    </w:rPr>
  </w:style>
  <w:style w:type="character" w:customStyle="1" w:styleId="115">
    <w:name w:val="标题 4 Char"/>
    <w:qFormat/>
    <w:uiPriority w:val="0"/>
    <w:rPr>
      <w:rFonts w:ascii="Arial" w:hAnsi="Arial" w:eastAsia="黑体"/>
      <w:b/>
      <w:bCs/>
      <w:kern w:val="2"/>
      <w:sz w:val="28"/>
      <w:szCs w:val="28"/>
    </w:rPr>
  </w:style>
  <w:style w:type="character" w:customStyle="1" w:styleId="116">
    <w:name w:val="正文文本 (2)_"/>
    <w:link w:val="117"/>
    <w:qFormat/>
    <w:locked/>
    <w:uiPriority w:val="0"/>
    <w:rPr>
      <w:sz w:val="11"/>
      <w:szCs w:val="11"/>
      <w:shd w:val="clear" w:color="auto" w:fill="FFFFFF"/>
    </w:rPr>
  </w:style>
  <w:style w:type="paragraph" w:customStyle="1" w:styleId="117">
    <w:name w:val="正文文本 (2)"/>
    <w:basedOn w:val="1"/>
    <w:link w:val="116"/>
    <w:qFormat/>
    <w:uiPriority w:val="0"/>
    <w:pPr>
      <w:shd w:val="clear" w:color="auto" w:fill="FFFFFF"/>
      <w:spacing w:line="308" w:lineRule="exact"/>
      <w:jc w:val="center"/>
    </w:pPr>
    <w:rPr>
      <w:rFonts w:asciiTheme="minorHAnsi" w:hAnsiTheme="minorHAnsi" w:eastAsiaTheme="minorEastAsia" w:cstheme="minorBidi"/>
      <w:sz w:val="11"/>
      <w:szCs w:val="11"/>
    </w:rPr>
  </w:style>
  <w:style w:type="character" w:customStyle="1" w:styleId="118">
    <w:name w:val="明显参考1"/>
    <w:qFormat/>
    <w:uiPriority w:val="32"/>
    <w:rPr>
      <w:b/>
      <w:bCs/>
      <w:smallCaps/>
      <w:color w:val="C0504D"/>
      <w:spacing w:val="5"/>
      <w:u w:val="single"/>
    </w:rPr>
  </w:style>
  <w:style w:type="character" w:customStyle="1" w:styleId="119">
    <w:name w:val="Char Char8"/>
    <w:qFormat/>
    <w:uiPriority w:val="0"/>
    <w:rPr>
      <w:rFonts w:ascii="Arial" w:hAnsi="Arial" w:eastAsia="黑体"/>
      <w:b/>
      <w:bCs/>
      <w:kern w:val="2"/>
      <w:sz w:val="32"/>
      <w:szCs w:val="32"/>
      <w:lang w:val="en-US" w:eastAsia="zh-CN" w:bidi="ar-SA"/>
    </w:rPr>
  </w:style>
  <w:style w:type="character" w:customStyle="1" w:styleId="120">
    <w:name w:val="标题 3 Char"/>
    <w:qFormat/>
    <w:uiPriority w:val="0"/>
    <w:rPr>
      <w:rFonts w:ascii="黑体" w:hAnsi="宋体" w:eastAsia="黑体"/>
      <w:bCs/>
      <w:kern w:val="2"/>
      <w:sz w:val="28"/>
      <w:szCs w:val="28"/>
    </w:rPr>
  </w:style>
  <w:style w:type="character" w:customStyle="1" w:styleId="121">
    <w:name w:val="批注文字 Char"/>
    <w:qFormat/>
    <w:uiPriority w:val="0"/>
    <w:rPr>
      <w:rFonts w:eastAsia="宋体"/>
      <w:kern w:val="2"/>
      <w:sz w:val="21"/>
      <w:szCs w:val="24"/>
      <w:lang w:val="en-US" w:eastAsia="zh-CN" w:bidi="ar-SA"/>
    </w:rPr>
  </w:style>
  <w:style w:type="character" w:customStyle="1" w:styleId="122">
    <w:name w:val="明显引用 字符2"/>
    <w:link w:val="123"/>
    <w:qFormat/>
    <w:uiPriority w:val="30"/>
    <w:rPr>
      <w:b/>
      <w:bCs/>
      <w:i/>
      <w:iCs/>
      <w:color w:val="4F81BD"/>
    </w:rPr>
  </w:style>
  <w:style w:type="paragraph" w:styleId="123">
    <w:name w:val="Intense Quote"/>
    <w:basedOn w:val="1"/>
    <w:next w:val="1"/>
    <w:link w:val="122"/>
    <w:qFormat/>
    <w:uiPriority w:val="30"/>
    <w:pPr>
      <w:pBdr>
        <w:bottom w:val="single" w:color="4F81BD" w:sz="4" w:space="4"/>
      </w:pBdr>
      <w:spacing w:before="200" w:after="280"/>
      <w:ind w:left="936" w:right="936"/>
    </w:pPr>
    <w:rPr>
      <w:rFonts w:asciiTheme="minorHAnsi" w:hAnsiTheme="minorHAnsi" w:eastAsiaTheme="minorEastAsia" w:cstheme="minorBidi"/>
      <w:b/>
      <w:bCs/>
      <w:i/>
      <w:iCs/>
      <w:color w:val="4F81BD"/>
    </w:rPr>
  </w:style>
  <w:style w:type="character" w:customStyle="1" w:styleId="124">
    <w:name w:val="明显引用 字符1"/>
    <w:basedOn w:val="51"/>
    <w:qFormat/>
    <w:uiPriority w:val="30"/>
    <w:rPr>
      <w:rFonts w:ascii="Times New Roman" w:hAnsi="Times New Roman" w:eastAsia="宋体" w:cs="Times New Roman"/>
      <w:i/>
      <w:iCs/>
      <w:color w:val="4472C4" w:themeColor="accent1"/>
      <w14:textFill>
        <w14:solidFill>
          <w14:schemeClr w14:val="accent1"/>
        </w14:solidFill>
      </w14:textFill>
    </w:rPr>
  </w:style>
  <w:style w:type="character" w:customStyle="1" w:styleId="125">
    <w:name w:val="ca-3"/>
    <w:qFormat/>
    <w:uiPriority w:val="0"/>
  </w:style>
  <w:style w:type="character" w:customStyle="1" w:styleId="126">
    <w:name w:val="正文文本 (3) + 9 pt"/>
    <w:qFormat/>
    <w:uiPriority w:val="0"/>
    <w:rPr>
      <w:rFonts w:ascii="Times New Roman" w:hAnsi="Times New Roman"/>
      <w:b/>
      <w:bCs/>
      <w:spacing w:val="20"/>
      <w:sz w:val="18"/>
      <w:szCs w:val="18"/>
      <w:shd w:val="clear" w:color="auto" w:fill="FFFFFF"/>
      <w:lang w:val="en-US" w:eastAsia="en-US"/>
    </w:rPr>
  </w:style>
  <w:style w:type="character" w:customStyle="1" w:styleId="127">
    <w:name w:val="Char Char7"/>
    <w:qFormat/>
    <w:uiPriority w:val="0"/>
    <w:rPr>
      <w:rFonts w:ascii="Arial" w:hAnsi="Arial" w:eastAsia="黑体"/>
      <w:b/>
      <w:bCs/>
      <w:kern w:val="2"/>
      <w:sz w:val="32"/>
      <w:szCs w:val="32"/>
      <w:lang w:val="en-US" w:eastAsia="zh-CN" w:bidi="ar-SA"/>
    </w:rPr>
  </w:style>
  <w:style w:type="character" w:customStyle="1" w:styleId="128">
    <w:name w:val="正文文本 (3)_"/>
    <w:link w:val="129"/>
    <w:qFormat/>
    <w:locked/>
    <w:uiPriority w:val="0"/>
    <w:rPr>
      <w:sz w:val="11"/>
      <w:szCs w:val="11"/>
      <w:shd w:val="clear" w:color="auto" w:fill="FFFFFF"/>
    </w:rPr>
  </w:style>
  <w:style w:type="paragraph" w:customStyle="1" w:styleId="129">
    <w:name w:val="正文文本 (3)"/>
    <w:basedOn w:val="1"/>
    <w:link w:val="128"/>
    <w:qFormat/>
    <w:uiPriority w:val="0"/>
    <w:pPr>
      <w:shd w:val="clear" w:color="auto" w:fill="FFFFFF"/>
      <w:spacing w:line="240" w:lineRule="atLeast"/>
    </w:pPr>
    <w:rPr>
      <w:rFonts w:asciiTheme="minorHAnsi" w:hAnsiTheme="minorHAnsi" w:eastAsiaTheme="minorEastAsia" w:cstheme="minorBidi"/>
      <w:sz w:val="11"/>
      <w:szCs w:val="11"/>
    </w:rPr>
  </w:style>
  <w:style w:type="character" w:customStyle="1" w:styleId="130">
    <w:name w:val="Char Char2"/>
    <w:qFormat/>
    <w:uiPriority w:val="0"/>
    <w:rPr>
      <w:rFonts w:eastAsia="宋体"/>
      <w:kern w:val="2"/>
      <w:sz w:val="21"/>
      <w:szCs w:val="24"/>
      <w:lang w:val="en-US" w:eastAsia="zh-CN" w:bidi="ar-SA"/>
    </w:rPr>
  </w:style>
  <w:style w:type="character" w:customStyle="1" w:styleId="131">
    <w:name w:val="引用 字符2"/>
    <w:link w:val="132"/>
    <w:qFormat/>
    <w:uiPriority w:val="29"/>
    <w:rPr>
      <w:i/>
      <w:iCs/>
      <w:color w:val="000000"/>
    </w:rPr>
  </w:style>
  <w:style w:type="paragraph" w:styleId="132">
    <w:name w:val="Quote"/>
    <w:basedOn w:val="1"/>
    <w:next w:val="1"/>
    <w:link w:val="131"/>
    <w:qFormat/>
    <w:uiPriority w:val="29"/>
    <w:rPr>
      <w:rFonts w:asciiTheme="minorHAnsi" w:hAnsiTheme="minorHAnsi" w:eastAsiaTheme="minorEastAsia" w:cstheme="minorBidi"/>
      <w:i/>
      <w:iCs/>
      <w:color w:val="000000"/>
    </w:rPr>
  </w:style>
  <w:style w:type="character" w:customStyle="1" w:styleId="133">
    <w:name w:val="引用 字符1"/>
    <w:basedOn w:val="51"/>
    <w:qFormat/>
    <w:uiPriority w:val="29"/>
    <w:rPr>
      <w:rFonts w:ascii="Times New Roman" w:hAnsi="Times New Roman" w:eastAsia="宋体" w:cs="Times New Roman"/>
      <w:i/>
      <w:iCs/>
      <w:color w:val="404040" w:themeColor="text1" w:themeTint="BF"/>
      <w14:textFill>
        <w14:solidFill>
          <w14:schemeClr w14:val="tx1">
            <w14:lumMod w14:val="75000"/>
            <w14:lumOff w14:val="25000"/>
          </w14:schemeClr>
        </w14:solidFill>
      </w14:textFill>
    </w:rPr>
  </w:style>
  <w:style w:type="character" w:customStyle="1" w:styleId="134">
    <w:name w:val="书籍标题1"/>
    <w:qFormat/>
    <w:uiPriority w:val="33"/>
    <w:rPr>
      <w:b/>
      <w:bCs/>
      <w:smallCaps/>
      <w:spacing w:val="5"/>
    </w:rPr>
  </w:style>
  <w:style w:type="character" w:customStyle="1" w:styleId="135">
    <w:name w:val="页眉 Char"/>
    <w:qFormat/>
    <w:uiPriority w:val="0"/>
    <w:rPr>
      <w:kern w:val="2"/>
      <w:sz w:val="18"/>
    </w:rPr>
  </w:style>
  <w:style w:type="paragraph" w:customStyle="1" w:styleId="136">
    <w:name w:val="Char"/>
    <w:basedOn w:val="1"/>
    <w:qFormat/>
    <w:uiPriority w:val="0"/>
    <w:pPr>
      <w:tabs>
        <w:tab w:val="left" w:pos="360"/>
      </w:tabs>
    </w:pPr>
    <w:rPr>
      <w:sz w:val="24"/>
    </w:rPr>
  </w:style>
  <w:style w:type="paragraph" w:customStyle="1" w:styleId="137">
    <w:name w:val="注"/>
    <w:basedOn w:val="1"/>
    <w:qFormat/>
    <w:uiPriority w:val="0"/>
    <w:pPr>
      <w:adjustRightInd w:val="0"/>
      <w:spacing w:line="360" w:lineRule="atLeast"/>
      <w:ind w:left="840" w:hanging="420"/>
      <w:textAlignment w:val="baseline"/>
    </w:pPr>
    <w:rPr>
      <w:kern w:val="0"/>
      <w:szCs w:val="20"/>
    </w:rPr>
  </w:style>
  <w:style w:type="paragraph" w:customStyle="1" w:styleId="138">
    <w:name w:val="Char Char Char Char"/>
    <w:basedOn w:val="1"/>
    <w:qFormat/>
    <w:uiPriority w:val="0"/>
    <w:rPr>
      <w:rFonts w:ascii="Tahoma" w:hAnsi="Tahoma" w:cs="仿宋_GB2312"/>
      <w:sz w:val="24"/>
      <w:szCs w:val="28"/>
    </w:rPr>
  </w:style>
  <w:style w:type="paragraph" w:customStyle="1" w:styleId="139">
    <w:name w:val="Char1"/>
    <w:basedOn w:val="1"/>
    <w:qFormat/>
    <w:uiPriority w:val="0"/>
  </w:style>
  <w:style w:type="paragraph" w:customStyle="1" w:styleId="140">
    <w:name w:val="正文文本缩进1"/>
    <w:basedOn w:val="1"/>
    <w:qFormat/>
    <w:uiPriority w:val="0"/>
    <w:pPr>
      <w:spacing w:line="360" w:lineRule="auto"/>
      <w:ind w:firstLine="420"/>
    </w:pPr>
    <w:rPr>
      <w:rFonts w:ascii="宋体"/>
      <w:sz w:val="24"/>
    </w:rPr>
  </w:style>
  <w:style w:type="paragraph" w:customStyle="1" w:styleId="14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42">
    <w:name w:val="样式2"/>
    <w:basedOn w:val="5"/>
    <w:qFormat/>
    <w:uiPriority w:val="0"/>
  </w:style>
  <w:style w:type="paragraph" w:customStyle="1" w:styleId="143">
    <w:name w:val="纯文本1"/>
    <w:basedOn w:val="1"/>
    <w:qFormat/>
    <w:uiPriority w:val="0"/>
    <w:pPr>
      <w:adjustRightInd w:val="0"/>
      <w:textAlignment w:val="baseline"/>
    </w:pPr>
    <w:rPr>
      <w:rFonts w:ascii="宋体" w:hAnsi="Courier New" w:eastAsia="楷体_GB2312"/>
      <w:sz w:val="26"/>
    </w:rPr>
  </w:style>
  <w:style w:type="paragraph" w:customStyle="1" w:styleId="144">
    <w:name w:val="表格"/>
    <w:basedOn w:val="1"/>
    <w:qFormat/>
    <w:uiPriority w:val="0"/>
    <w:pPr>
      <w:jc w:val="center"/>
      <w:textAlignment w:val="center"/>
    </w:pPr>
    <w:rPr>
      <w:rFonts w:ascii="华文细黑" w:hAnsi="华文细黑"/>
      <w:kern w:val="0"/>
    </w:rPr>
  </w:style>
  <w:style w:type="paragraph" w:customStyle="1" w:styleId="145">
    <w:name w:val="样式3"/>
    <w:basedOn w:val="5"/>
    <w:qFormat/>
    <w:uiPriority w:val="0"/>
    <w:rPr>
      <w:rFonts w:eastAsia="Arial"/>
    </w:rPr>
  </w:style>
  <w:style w:type="paragraph" w:customStyle="1" w:styleId="146">
    <w:name w:val="1"/>
    <w:basedOn w:val="1"/>
    <w:next w:val="1"/>
    <w:qFormat/>
    <w:uiPriority w:val="0"/>
  </w:style>
  <w:style w:type="paragraph" w:customStyle="1" w:styleId="147">
    <w:name w:val="TOC 标题1"/>
    <w:basedOn w:val="3"/>
    <w:next w:val="1"/>
    <w:qFormat/>
    <w:uiPriority w:val="39"/>
    <w:pPr>
      <w:spacing w:line="578" w:lineRule="auto"/>
      <w:outlineLvl w:val="9"/>
    </w:pPr>
  </w:style>
  <w:style w:type="paragraph" w:customStyle="1" w:styleId="148">
    <w:name w:val="样式4"/>
    <w:basedOn w:val="5"/>
    <w:qFormat/>
    <w:uiPriority w:val="0"/>
    <w:rPr>
      <w:rFonts w:eastAsia="Arial"/>
    </w:rPr>
  </w:style>
  <w:style w:type="paragraph" w:customStyle="1" w:styleId="149">
    <w:name w:val="Char Char2 Char Char"/>
    <w:basedOn w:val="16"/>
    <w:unhideWhenUsed/>
    <w:qFormat/>
    <w:uiPriority w:val="99"/>
    <w:rPr>
      <w:rFonts w:hint="eastAsia" w:ascii="Tahoma" w:hAnsi="Tahoma"/>
      <w:sz w:val="24"/>
    </w:rPr>
  </w:style>
  <w:style w:type="paragraph" w:customStyle="1" w:styleId="150">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52">
    <w:name w:val="p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53">
    <w:name w:val="列出段落1"/>
    <w:basedOn w:val="1"/>
    <w:qFormat/>
    <w:uiPriority w:val="1"/>
    <w:pPr>
      <w:ind w:firstLine="420" w:firstLineChars="200"/>
    </w:pPr>
    <w:rPr>
      <w:rFonts w:ascii="Calibri" w:hAnsi="Calibri"/>
      <w:szCs w:val="22"/>
    </w:rPr>
  </w:style>
  <w:style w:type="paragraph" w:customStyle="1" w:styleId="154">
    <w:name w:val="默认段落字体 Para Char Char Char Char Char Char Char Char Char1 Char Char Char Char Char Char Char"/>
    <w:basedOn w:val="16"/>
    <w:qFormat/>
    <w:uiPriority w:val="0"/>
    <w:rPr>
      <w:rFonts w:ascii="Tahoma" w:hAnsi="Tahoma"/>
      <w:sz w:val="24"/>
    </w:rPr>
  </w:style>
  <w:style w:type="paragraph" w:customStyle="1" w:styleId="155">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56">
    <w:name w:val="p0"/>
    <w:basedOn w:val="1"/>
    <w:qFormat/>
    <w:uiPriority w:val="0"/>
    <w:pPr>
      <w:widowControl/>
      <w:adjustRightInd w:val="0"/>
      <w:spacing w:line="360" w:lineRule="atLeast"/>
      <w:textAlignment w:val="baseline"/>
    </w:pPr>
    <w:rPr>
      <w:rFonts w:eastAsia="Times New Roman"/>
      <w:kern w:val="0"/>
      <w:szCs w:val="21"/>
    </w:rPr>
  </w:style>
  <w:style w:type="paragraph" w:customStyle="1" w:styleId="157">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58">
    <w:name w:val="纯文本2"/>
    <w:basedOn w:val="1"/>
    <w:qFormat/>
    <w:uiPriority w:val="0"/>
    <w:rPr>
      <w:rFonts w:ascii="宋体" w:hAnsi="Courier New"/>
      <w:sz w:val="28"/>
    </w:rPr>
  </w:style>
  <w:style w:type="paragraph" w:customStyle="1" w:styleId="159">
    <w:name w:val="表格文字"/>
    <w:basedOn w:val="1"/>
    <w:qFormat/>
    <w:uiPriority w:val="0"/>
    <w:pPr>
      <w:adjustRightInd w:val="0"/>
      <w:spacing w:line="420" w:lineRule="atLeast"/>
      <w:jc w:val="left"/>
      <w:textAlignment w:val="baseline"/>
    </w:pPr>
    <w:rPr>
      <w:kern w:val="0"/>
    </w:rPr>
  </w:style>
  <w:style w:type="paragraph" w:customStyle="1" w:styleId="160">
    <w:name w:val="样式 标题 1 + 黑体 三号 非加粗 居中 段前: 6 磅 段后: 6 磅 行距: 固定值 20 磅"/>
    <w:basedOn w:val="3"/>
    <w:qFormat/>
    <w:uiPriority w:val="0"/>
    <w:pPr>
      <w:spacing w:before="120" w:after="120" w:line="400" w:lineRule="exact"/>
    </w:pPr>
    <w:rPr>
      <w:rFonts w:ascii="黑体" w:hAnsi="黑体" w:eastAsia="黑体" w:cs="宋体"/>
      <w:b w:val="0"/>
      <w:bCs w:val="0"/>
      <w:sz w:val="32"/>
      <w:szCs w:val="20"/>
    </w:rPr>
  </w:style>
  <w:style w:type="paragraph" w:styleId="161">
    <w:name w:val="List Paragraph"/>
    <w:basedOn w:val="1"/>
    <w:qFormat/>
    <w:uiPriority w:val="34"/>
    <w:pPr>
      <w:ind w:firstLine="420" w:firstLineChars="200"/>
    </w:pPr>
  </w:style>
  <w:style w:type="paragraph" w:customStyle="1" w:styleId="162">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63">
    <w:name w:val="样式 标题 2 + 黑色 行距: 1.5 倍行距"/>
    <w:basedOn w:val="4"/>
    <w:qFormat/>
    <w:uiPriority w:val="0"/>
    <w:pPr>
      <w:spacing w:line="360" w:lineRule="auto"/>
    </w:pPr>
    <w:rPr>
      <w:rFonts w:eastAsia="宋体" w:cs="宋体"/>
      <w:color w:val="000000"/>
    </w:rPr>
  </w:style>
  <w:style w:type="paragraph" w:customStyle="1" w:styleId="16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标题 2 + 黑色 行距: 1.5 倍行距"/>
    <w:basedOn w:val="4"/>
    <w:qFormat/>
    <w:uiPriority w:val="0"/>
    <w:pPr>
      <w:spacing w:line="360" w:lineRule="auto"/>
    </w:pPr>
    <w:rPr>
      <w:rFonts w:eastAsia="宋体" w:cs="宋体"/>
      <w:color w:val="000000"/>
      <w:szCs w:val="20"/>
    </w:rPr>
  </w:style>
  <w:style w:type="paragraph" w:customStyle="1" w:styleId="166">
    <w:name w:val="样式1"/>
    <w:basedOn w:val="5"/>
    <w:qFormat/>
    <w:uiPriority w:val="0"/>
    <w:rPr>
      <w:rFonts w:eastAsia="Arial"/>
    </w:rPr>
  </w:style>
  <w:style w:type="paragraph" w:customStyle="1" w:styleId="167">
    <w:name w:val="样式 标题 3 + (中文) 黑体 小四 非加粗 段前: 7.8 磅 段后: 0 磅 行距: 固定值 20 磅"/>
    <w:basedOn w:val="5"/>
    <w:qFormat/>
    <w:uiPriority w:val="0"/>
    <w:pPr>
      <w:spacing w:before="0" w:after="0" w:line="400" w:lineRule="exact"/>
    </w:pPr>
    <w:rPr>
      <w:rFonts w:cs="宋体"/>
      <w:b/>
      <w:bCs/>
    </w:rPr>
  </w:style>
  <w:style w:type="paragraph" w:customStyle="1" w:styleId="168">
    <w:name w:val="Char Char5"/>
    <w:basedOn w:val="16"/>
    <w:qFormat/>
    <w:uiPriority w:val="0"/>
    <w:pPr>
      <w:adjustRightInd w:val="0"/>
      <w:spacing w:line="436" w:lineRule="exact"/>
      <w:ind w:left="357"/>
      <w:jc w:val="left"/>
      <w:outlineLvl w:val="3"/>
    </w:pPr>
    <w:rPr>
      <w:color w:val="000000"/>
      <w:kern w:val="0"/>
      <w:szCs w:val="20"/>
      <w:u w:color="000000"/>
    </w:rPr>
  </w:style>
  <w:style w:type="paragraph" w:customStyle="1" w:styleId="169">
    <w:name w:val="默认段落字体 Para Char Char Char Char Char Char Char Char Char1 Char Char Char Char"/>
    <w:basedOn w:val="1"/>
    <w:qFormat/>
    <w:uiPriority w:val="0"/>
    <w:rPr>
      <w:rFonts w:ascii="Tahoma" w:hAnsi="Tahoma"/>
      <w:sz w:val="24"/>
      <w:szCs w:val="20"/>
    </w:rPr>
  </w:style>
  <w:style w:type="paragraph" w:customStyle="1" w:styleId="170">
    <w:name w:val="pa-5"/>
    <w:basedOn w:val="1"/>
    <w:qFormat/>
    <w:uiPriority w:val="0"/>
    <w:pPr>
      <w:widowControl/>
      <w:spacing w:before="100" w:beforeAutospacing="1" w:after="100" w:afterAutospacing="1"/>
      <w:jc w:val="left"/>
    </w:pPr>
    <w:rPr>
      <w:rFonts w:ascii="宋体" w:hAnsi="宋体" w:cs="宋体"/>
      <w:kern w:val="0"/>
      <w:sz w:val="24"/>
    </w:rPr>
  </w:style>
  <w:style w:type="paragraph" w:customStyle="1" w:styleId="171">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2">
    <w:name w:val="正文2"/>
    <w:basedOn w:val="1"/>
    <w:qFormat/>
    <w:uiPriority w:val="0"/>
    <w:pPr>
      <w:widowControl/>
      <w:jc w:val="left"/>
    </w:pPr>
    <w:rPr>
      <w:kern w:val="0"/>
      <w:sz w:val="24"/>
      <w:szCs w:val="20"/>
    </w:rPr>
  </w:style>
  <w:style w:type="paragraph" w:customStyle="1" w:styleId="173">
    <w:name w:val="Personal Name"/>
    <w:basedOn w:val="45"/>
    <w:qFormat/>
    <w:uiPriority w:val="0"/>
    <w:rPr>
      <w:rFonts w:ascii="Impact" w:hAnsi="Impact"/>
      <w:b w:val="0"/>
      <w:caps/>
      <w:color w:val="000000"/>
      <w:sz w:val="28"/>
      <w:szCs w:val="28"/>
    </w:rPr>
  </w:style>
  <w:style w:type="paragraph" w:customStyle="1" w:styleId="17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75">
    <w:name w:val="正文段"/>
    <w:basedOn w:val="1"/>
    <w:qFormat/>
    <w:uiPriority w:val="0"/>
    <w:pPr>
      <w:widowControl/>
      <w:snapToGrid w:val="0"/>
      <w:spacing w:afterLines="50"/>
      <w:ind w:firstLine="200" w:firstLineChars="200"/>
    </w:pPr>
    <w:rPr>
      <w:kern w:val="0"/>
      <w:sz w:val="24"/>
      <w:szCs w:val="20"/>
    </w:rPr>
  </w:style>
  <w:style w:type="character" w:customStyle="1" w:styleId="176">
    <w:name w:val="font71"/>
    <w:qFormat/>
    <w:uiPriority w:val="0"/>
    <w:rPr>
      <w:rFonts w:hint="eastAsia" w:ascii="宋体" w:hAnsi="宋体" w:eastAsia="宋体" w:cs="宋体"/>
      <w:color w:val="000000"/>
      <w:sz w:val="24"/>
      <w:szCs w:val="24"/>
      <w:u w:val="none"/>
    </w:rPr>
  </w:style>
  <w:style w:type="character" w:customStyle="1" w:styleId="177">
    <w:name w:val="font91"/>
    <w:qFormat/>
    <w:uiPriority w:val="0"/>
    <w:rPr>
      <w:rFonts w:hint="eastAsia" w:ascii="宋体" w:hAnsi="宋体" w:eastAsia="宋体" w:cs="宋体"/>
      <w:b/>
      <w:bCs/>
      <w:color w:val="000000"/>
      <w:sz w:val="24"/>
      <w:szCs w:val="24"/>
      <w:u w:val="none"/>
    </w:rPr>
  </w:style>
  <w:style w:type="character" w:customStyle="1" w:styleId="178">
    <w:name w:val="font51"/>
    <w:qFormat/>
    <w:uiPriority w:val="0"/>
    <w:rPr>
      <w:rFonts w:hint="eastAsia" w:ascii="宋体" w:hAnsi="宋体" w:eastAsia="宋体" w:cs="宋体"/>
      <w:b/>
      <w:bCs/>
      <w:color w:val="000000"/>
      <w:sz w:val="20"/>
      <w:szCs w:val="20"/>
      <w:u w:val="none"/>
    </w:rPr>
  </w:style>
  <w:style w:type="character" w:customStyle="1" w:styleId="179">
    <w:name w:val="font31"/>
    <w:qFormat/>
    <w:uiPriority w:val="0"/>
    <w:rPr>
      <w:rFonts w:hint="eastAsia" w:ascii="宋体" w:hAnsi="宋体" w:eastAsia="宋体" w:cs="宋体"/>
      <w:b/>
      <w:bCs/>
      <w:color w:val="000000"/>
      <w:sz w:val="20"/>
      <w:szCs w:val="20"/>
      <w:u w:val="none"/>
    </w:rPr>
  </w:style>
  <w:style w:type="character" w:customStyle="1" w:styleId="180">
    <w:name w:val="NormalCharacter"/>
    <w:qFormat/>
    <w:uiPriority w:val="0"/>
    <w:rPr>
      <w:rFonts w:ascii="Times New Roman" w:hAnsi="Times New Roman" w:eastAsia="宋体" w:cs="Times New Roman"/>
      <w:kern w:val="2"/>
      <w:sz w:val="21"/>
      <w:szCs w:val="24"/>
      <w:lang w:val="en-US" w:eastAsia="zh-CN" w:bidi="ar-SA"/>
    </w:rPr>
  </w:style>
  <w:style w:type="paragraph" w:customStyle="1" w:styleId="181">
    <w:name w:val="纯文本11"/>
    <w:basedOn w:val="1"/>
    <w:qFormat/>
    <w:uiPriority w:val="0"/>
    <w:pPr>
      <w:adjustRightInd w:val="0"/>
      <w:textAlignment w:val="baseline"/>
    </w:pPr>
    <w:rPr>
      <w:rFonts w:ascii="宋体" w:hAnsi="Courier New" w:eastAsia="楷体_GB2312"/>
      <w:sz w:val="26"/>
    </w:rPr>
  </w:style>
  <w:style w:type="character" w:customStyle="1" w:styleId="182">
    <w:name w:val="15"/>
    <w:qFormat/>
    <w:uiPriority w:val="0"/>
    <w:rPr>
      <w:rFonts w:hint="default" w:ascii="Times New Roman" w:hAnsi="Times New Roman" w:cs="Times New Roman"/>
      <w:color w:val="464445"/>
      <w:u w:val="none"/>
    </w:rPr>
  </w:style>
  <w:style w:type="character" w:customStyle="1" w:styleId="183">
    <w:name w:val="标题 字符1"/>
    <w:link w:val="45"/>
    <w:qFormat/>
    <w:locked/>
    <w:uiPriority w:val="10"/>
    <w:rPr>
      <w:rFonts w:ascii="Cambria" w:hAnsi="Cambria" w:eastAsia="宋体" w:cs="Times New Roman"/>
      <w:b/>
      <w:bCs/>
      <w:sz w:val="32"/>
      <w:szCs w:val="32"/>
    </w:rPr>
  </w:style>
  <w:style w:type="character" w:customStyle="1" w:styleId="184">
    <w:name w:val="副标题 Char"/>
    <w:qFormat/>
    <w:uiPriority w:val="11"/>
    <w:rPr>
      <w:rFonts w:ascii="Cambria" w:hAnsi="Cambria"/>
      <w:b/>
      <w:kern w:val="28"/>
      <w:sz w:val="32"/>
    </w:rPr>
  </w:style>
  <w:style w:type="paragraph" w:customStyle="1" w:styleId="185">
    <w:name w:val="WPSOffice手动目录 1"/>
    <w:qFormat/>
    <w:uiPriority w:val="0"/>
    <w:rPr>
      <w:rFonts w:asciiTheme="minorHAnsi" w:hAnsiTheme="minorHAnsi" w:eastAsiaTheme="minorEastAsia" w:cstheme="minorBidi"/>
      <w:lang w:val="en-US" w:eastAsia="zh-CN" w:bidi="ar-SA"/>
    </w:rPr>
  </w:style>
  <w:style w:type="character" w:customStyle="1" w:styleId="186">
    <w:name w:val="页脚 字符"/>
    <w:qFormat/>
    <w:locked/>
    <w:uiPriority w:val="0"/>
    <w:rPr>
      <w:rFonts w:ascii="Times New Roman" w:hAnsi="Times New Roman" w:eastAsia="宋体" w:cs="Times New Roman"/>
      <w:sz w:val="18"/>
      <w:szCs w:val="18"/>
    </w:rPr>
  </w:style>
  <w:style w:type="character" w:customStyle="1" w:styleId="187">
    <w:name w:val="副标题 字符"/>
    <w:qFormat/>
    <w:locked/>
    <w:uiPriority w:val="11"/>
    <w:rPr>
      <w:rFonts w:ascii="Cambria" w:hAnsi="Cambria" w:eastAsia="宋体" w:cs="Times New Roman"/>
      <w:b/>
      <w:bCs/>
      <w:kern w:val="28"/>
      <w:sz w:val="32"/>
      <w:szCs w:val="32"/>
    </w:rPr>
  </w:style>
  <w:style w:type="character" w:customStyle="1" w:styleId="188">
    <w:name w:val="Body text|1_"/>
    <w:link w:val="189"/>
    <w:qFormat/>
    <w:uiPriority w:val="0"/>
    <w:rPr>
      <w:rFonts w:ascii="宋体" w:hAnsi="宋体" w:eastAsia="宋体" w:cs="宋体"/>
      <w:lang w:val="zh-TW" w:eastAsia="zh-TW" w:bidi="zh-TW"/>
    </w:rPr>
  </w:style>
  <w:style w:type="paragraph" w:customStyle="1" w:styleId="189">
    <w:name w:val="Body text|1"/>
    <w:basedOn w:val="1"/>
    <w:link w:val="188"/>
    <w:qFormat/>
    <w:uiPriority w:val="0"/>
    <w:pPr>
      <w:spacing w:line="480" w:lineRule="auto"/>
      <w:ind w:firstLine="400"/>
      <w:jc w:val="left"/>
    </w:pPr>
    <w:rPr>
      <w:rFonts w:ascii="宋体" w:hAnsi="宋体" w:cs="宋体"/>
      <w:kern w:val="0"/>
      <w:sz w:val="20"/>
      <w:szCs w:val="20"/>
      <w:lang w:val="zh-TW" w:eastAsia="zh-TW" w:bidi="zh-TW"/>
    </w:rPr>
  </w:style>
  <w:style w:type="table" w:customStyle="1" w:styleId="190">
    <w:name w:val="Table Normal"/>
    <w:unhideWhenUse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191">
    <w:name w:val="标题 31"/>
    <w:basedOn w:val="1"/>
    <w:qFormat/>
    <w:uiPriority w:val="1"/>
    <w:pPr>
      <w:autoSpaceDE w:val="0"/>
      <w:autoSpaceDN w:val="0"/>
      <w:ind w:left="3808"/>
      <w:jc w:val="left"/>
      <w:outlineLvl w:val="3"/>
    </w:pPr>
    <w:rPr>
      <w:rFonts w:ascii="楷体" w:hAnsi="楷体" w:eastAsia="楷体" w:cs="楷体"/>
      <w:b/>
      <w:bCs/>
      <w:kern w:val="0"/>
      <w:sz w:val="28"/>
      <w:szCs w:val="28"/>
      <w:lang w:val="zh-CN" w:bidi="zh-CN"/>
    </w:rPr>
  </w:style>
  <w:style w:type="paragraph" w:customStyle="1" w:styleId="192">
    <w:name w:val="标题 61"/>
    <w:basedOn w:val="1"/>
    <w:qFormat/>
    <w:uiPriority w:val="1"/>
    <w:pPr>
      <w:autoSpaceDE w:val="0"/>
      <w:autoSpaceDN w:val="0"/>
      <w:ind w:left="1062" w:firstLine="420"/>
      <w:jc w:val="left"/>
      <w:outlineLvl w:val="6"/>
    </w:pPr>
    <w:rPr>
      <w:rFonts w:ascii="宋体" w:hAnsi="宋体" w:cs="宋体"/>
      <w:b/>
      <w:bCs/>
      <w:kern w:val="0"/>
      <w:szCs w:val="21"/>
      <w:lang w:val="zh-CN" w:bidi="zh-CN"/>
    </w:rPr>
  </w:style>
  <w:style w:type="paragraph" w:customStyle="1" w:styleId="193">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194">
    <w:name w:val="正文文本 字符"/>
    <w:qFormat/>
    <w:uiPriority w:val="0"/>
    <w:rPr>
      <w:rFonts w:ascii="Times New Roman" w:hAnsi="Times New Roman" w:eastAsia="宋体" w:cs="Times New Roman"/>
      <w:kern w:val="2"/>
      <w:sz w:val="21"/>
      <w:szCs w:val="24"/>
    </w:rPr>
  </w:style>
  <w:style w:type="character" w:customStyle="1" w:styleId="195">
    <w:name w:val="Header or footer|2_"/>
    <w:basedOn w:val="51"/>
    <w:link w:val="196"/>
    <w:qFormat/>
    <w:uiPriority w:val="0"/>
    <w:rPr>
      <w:rFonts w:ascii="Times New Roman" w:hAnsi="Times New Roman" w:eastAsia="宋体" w:cs="Times New Roman"/>
    </w:rPr>
  </w:style>
  <w:style w:type="paragraph" w:customStyle="1" w:styleId="196">
    <w:name w:val="Header or footer|2"/>
    <w:basedOn w:val="1"/>
    <w:link w:val="195"/>
    <w:qFormat/>
    <w:uiPriority w:val="0"/>
    <w:pPr>
      <w:jc w:val="left"/>
    </w:pPr>
    <w:rPr>
      <w:kern w:val="0"/>
      <w:sz w:val="20"/>
      <w:szCs w:val="20"/>
    </w:rPr>
  </w:style>
  <w:style w:type="character" w:customStyle="1" w:styleId="197">
    <w:name w:val="apple-converted-space"/>
    <w:qFormat/>
    <w:uiPriority w:val="0"/>
    <w:rPr>
      <w:rFonts w:ascii="Calibri" w:hAnsi="Calibri"/>
    </w:rPr>
  </w:style>
  <w:style w:type="character" w:customStyle="1" w:styleId="198">
    <w:name w:val="标题 1 字符"/>
    <w:qFormat/>
    <w:uiPriority w:val="0"/>
    <w:rPr>
      <w:b/>
      <w:bCs/>
      <w:kern w:val="44"/>
      <w:sz w:val="44"/>
      <w:szCs w:val="44"/>
    </w:rPr>
  </w:style>
  <w:style w:type="character" w:customStyle="1" w:styleId="199">
    <w:name w:val="纯文本 字符"/>
    <w:qFormat/>
    <w:uiPriority w:val="0"/>
    <w:rPr>
      <w:rFonts w:ascii="宋体" w:hAnsi="Courier New"/>
      <w:kern w:val="2"/>
      <w:sz w:val="28"/>
    </w:rPr>
  </w:style>
  <w:style w:type="character" w:customStyle="1" w:styleId="200">
    <w:name w:val="标题 2 字符1"/>
    <w:qFormat/>
    <w:uiPriority w:val="0"/>
    <w:rPr>
      <w:rFonts w:ascii="Arial" w:hAnsi="Arial" w:eastAsia="黑体"/>
      <w:b/>
      <w:bCs/>
      <w:kern w:val="2"/>
      <w:sz w:val="32"/>
      <w:szCs w:val="32"/>
    </w:rPr>
  </w:style>
  <w:style w:type="character" w:customStyle="1" w:styleId="201">
    <w:name w:val="标题 3 字符"/>
    <w:unhideWhenUsed/>
    <w:qFormat/>
    <w:uiPriority w:val="99"/>
    <w:rPr>
      <w:rFonts w:hint="default" w:hAnsi="黑体" w:eastAsia="黑体"/>
      <w:kern w:val="2"/>
      <w:sz w:val="24"/>
    </w:rPr>
  </w:style>
  <w:style w:type="character" w:customStyle="1" w:styleId="202">
    <w:name w:val="标题 4 字符"/>
    <w:unhideWhenUsed/>
    <w:qFormat/>
    <w:uiPriority w:val="99"/>
    <w:rPr>
      <w:rFonts w:hint="eastAsia" w:ascii="Cambria" w:hAnsi="Cambria" w:eastAsia="宋体"/>
      <w:b/>
      <w:kern w:val="2"/>
      <w:sz w:val="28"/>
    </w:rPr>
  </w:style>
  <w:style w:type="character" w:customStyle="1" w:styleId="203">
    <w:name w:val="标题 5 字符"/>
    <w:semiHidden/>
    <w:qFormat/>
    <w:uiPriority w:val="9"/>
    <w:rPr>
      <w:b/>
      <w:bCs/>
      <w:kern w:val="2"/>
      <w:sz w:val="28"/>
      <w:szCs w:val="28"/>
    </w:rPr>
  </w:style>
  <w:style w:type="character" w:customStyle="1" w:styleId="204">
    <w:name w:val="标题 6 字符"/>
    <w:qFormat/>
    <w:uiPriority w:val="0"/>
    <w:rPr>
      <w:rFonts w:ascii="Arial" w:hAnsi="Arial" w:eastAsia="黑体"/>
      <w:b/>
      <w:bCs/>
      <w:sz w:val="24"/>
      <w:szCs w:val="24"/>
    </w:rPr>
  </w:style>
  <w:style w:type="character" w:customStyle="1" w:styleId="205">
    <w:name w:val="标题 7 字符"/>
    <w:qFormat/>
    <w:uiPriority w:val="0"/>
    <w:rPr>
      <w:b/>
      <w:bCs/>
      <w:sz w:val="24"/>
      <w:szCs w:val="24"/>
    </w:rPr>
  </w:style>
  <w:style w:type="character" w:customStyle="1" w:styleId="206">
    <w:name w:val="标题 8 字符"/>
    <w:qFormat/>
    <w:uiPriority w:val="0"/>
    <w:rPr>
      <w:rFonts w:ascii="Arial" w:hAnsi="Arial" w:eastAsia="黑体"/>
      <w:sz w:val="24"/>
      <w:szCs w:val="24"/>
    </w:rPr>
  </w:style>
  <w:style w:type="character" w:customStyle="1" w:styleId="207">
    <w:name w:val="标题 9 字符"/>
    <w:qFormat/>
    <w:uiPriority w:val="0"/>
    <w:rPr>
      <w:rFonts w:ascii="Arial" w:hAnsi="Arial" w:eastAsia="黑体"/>
      <w:sz w:val="21"/>
      <w:szCs w:val="21"/>
    </w:rPr>
  </w:style>
  <w:style w:type="character" w:customStyle="1" w:styleId="208">
    <w:name w:val="正文缩进 字符"/>
    <w:qFormat/>
    <w:uiPriority w:val="0"/>
    <w:rPr>
      <w:b/>
      <w:kern w:val="2"/>
      <w:sz w:val="24"/>
    </w:rPr>
  </w:style>
  <w:style w:type="character" w:customStyle="1" w:styleId="209">
    <w:name w:val="文档结构图 字符"/>
    <w:qFormat/>
    <w:uiPriority w:val="0"/>
    <w:rPr>
      <w:kern w:val="2"/>
      <w:sz w:val="21"/>
      <w:szCs w:val="24"/>
      <w:shd w:val="clear" w:color="auto" w:fill="000080"/>
    </w:rPr>
  </w:style>
  <w:style w:type="character" w:customStyle="1" w:styleId="210">
    <w:name w:val="批注文字 字符"/>
    <w:semiHidden/>
    <w:qFormat/>
    <w:uiPriority w:val="99"/>
    <w:rPr>
      <w:kern w:val="2"/>
      <w:sz w:val="21"/>
    </w:rPr>
  </w:style>
  <w:style w:type="character" w:customStyle="1" w:styleId="211">
    <w:name w:val="正文文本 3 字符"/>
    <w:qFormat/>
    <w:uiPriority w:val="0"/>
    <w:rPr>
      <w:rFonts w:ascii="宋体"/>
      <w:kern w:val="2"/>
      <w:sz w:val="24"/>
    </w:rPr>
  </w:style>
  <w:style w:type="character" w:customStyle="1" w:styleId="212">
    <w:name w:val="正文文本缩进 字符"/>
    <w:qFormat/>
    <w:uiPriority w:val="0"/>
    <w:rPr>
      <w:rFonts w:ascii="宋体"/>
      <w:kern w:val="2"/>
      <w:sz w:val="24"/>
    </w:rPr>
  </w:style>
  <w:style w:type="character" w:customStyle="1" w:styleId="213">
    <w:name w:val="正文文本缩进 2 字符"/>
    <w:qFormat/>
    <w:uiPriority w:val="0"/>
    <w:rPr>
      <w:rFonts w:ascii="宋体"/>
      <w:kern w:val="2"/>
      <w:sz w:val="21"/>
    </w:rPr>
  </w:style>
  <w:style w:type="character" w:customStyle="1" w:styleId="214">
    <w:name w:val="批注框文本 字符"/>
    <w:semiHidden/>
    <w:qFormat/>
    <w:uiPriority w:val="99"/>
    <w:rPr>
      <w:kern w:val="2"/>
      <w:sz w:val="18"/>
      <w:szCs w:val="18"/>
    </w:rPr>
  </w:style>
  <w:style w:type="character" w:customStyle="1" w:styleId="215">
    <w:name w:val="页眉 字符"/>
    <w:unhideWhenUsed/>
    <w:qFormat/>
    <w:uiPriority w:val="0"/>
    <w:rPr>
      <w:rFonts w:hint="default" w:eastAsia="宋体"/>
      <w:kern w:val="2"/>
      <w:sz w:val="18"/>
      <w:lang w:val="en-US" w:eastAsia="zh-CN"/>
    </w:rPr>
  </w:style>
  <w:style w:type="character" w:customStyle="1" w:styleId="216">
    <w:name w:val="脚注文本 字符"/>
    <w:qFormat/>
    <w:uiPriority w:val="0"/>
    <w:rPr>
      <w:kern w:val="2"/>
    </w:rPr>
  </w:style>
  <w:style w:type="character" w:customStyle="1" w:styleId="217">
    <w:name w:val="正文文本缩进 3 字符"/>
    <w:qFormat/>
    <w:uiPriority w:val="0"/>
    <w:rPr>
      <w:kern w:val="2"/>
      <w:sz w:val="16"/>
      <w:szCs w:val="16"/>
    </w:rPr>
  </w:style>
  <w:style w:type="character" w:customStyle="1" w:styleId="218">
    <w:name w:val="批注主题 字符"/>
    <w:qFormat/>
    <w:uiPriority w:val="0"/>
    <w:rPr>
      <w:b/>
      <w:bCs/>
      <w:kern w:val="2"/>
      <w:sz w:val="21"/>
      <w:szCs w:val="24"/>
    </w:rPr>
  </w:style>
  <w:style w:type="character" w:customStyle="1" w:styleId="219">
    <w:name w:val="正文首行缩进 字符"/>
    <w:semiHidden/>
    <w:qFormat/>
    <w:uiPriority w:val="99"/>
  </w:style>
  <w:style w:type="paragraph" w:customStyle="1" w:styleId="220">
    <w:name w:val="_Style 210"/>
    <w:qFormat/>
    <w:uiPriority w:val="99"/>
    <w:rPr>
      <w:rFonts w:ascii="Calibri" w:hAnsi="Calibri" w:eastAsia="宋体" w:cs="Times New Roman"/>
      <w:lang w:val="en-US" w:eastAsia="zh-CN" w:bidi="ar-SA"/>
    </w:rPr>
  </w:style>
  <w:style w:type="character" w:customStyle="1" w:styleId="221">
    <w:name w:val="Intense Emphasis"/>
    <w:qFormat/>
    <w:uiPriority w:val="21"/>
    <w:rPr>
      <w:b/>
      <w:bCs/>
      <w:i/>
      <w:iCs/>
      <w:color w:val="4F81BD"/>
    </w:rPr>
  </w:style>
  <w:style w:type="character" w:customStyle="1" w:styleId="222">
    <w:name w:val="Char Char71"/>
    <w:qFormat/>
    <w:uiPriority w:val="0"/>
    <w:rPr>
      <w:rFonts w:ascii="Arial" w:hAnsi="Arial" w:eastAsia="黑体"/>
      <w:b/>
      <w:bCs/>
      <w:kern w:val="2"/>
      <w:sz w:val="32"/>
      <w:szCs w:val="32"/>
      <w:lang w:val="en-US" w:eastAsia="zh-CN" w:bidi="ar-SA"/>
    </w:rPr>
  </w:style>
  <w:style w:type="character" w:customStyle="1" w:styleId="223">
    <w:name w:val="无间隔 字符"/>
    <w:qFormat/>
    <w:uiPriority w:val="1"/>
    <w:rPr>
      <w:kern w:val="2"/>
      <w:sz w:val="21"/>
      <w:szCs w:val="24"/>
      <w:lang w:val="en-US" w:eastAsia="zh-CN" w:bidi="ar-SA"/>
    </w:rPr>
  </w:style>
  <w:style w:type="character" w:customStyle="1" w:styleId="224">
    <w:name w:val="纯文本 Char1"/>
    <w:qFormat/>
    <w:uiPriority w:val="0"/>
    <w:rPr>
      <w:rFonts w:ascii="宋体" w:hAnsi="Courier New" w:eastAsia="宋体"/>
      <w:kern w:val="2"/>
      <w:sz w:val="24"/>
      <w:szCs w:val="24"/>
      <w:lang w:val="en-US" w:eastAsia="zh-CN" w:bidi="ar-SA"/>
    </w:rPr>
  </w:style>
  <w:style w:type="character" w:customStyle="1" w:styleId="225">
    <w:name w:val="标题 2 字符"/>
    <w:qFormat/>
    <w:uiPriority w:val="0"/>
    <w:rPr>
      <w:rFonts w:ascii="Arial" w:hAnsi="Arial" w:eastAsia="黑体"/>
      <w:b/>
      <w:bCs/>
      <w:kern w:val="2"/>
      <w:sz w:val="32"/>
      <w:szCs w:val="32"/>
    </w:rPr>
  </w:style>
  <w:style w:type="character" w:customStyle="1" w:styleId="226">
    <w:name w:val="Char Char21"/>
    <w:qFormat/>
    <w:uiPriority w:val="0"/>
    <w:rPr>
      <w:rFonts w:eastAsia="宋体"/>
      <w:kern w:val="2"/>
      <w:sz w:val="21"/>
      <w:szCs w:val="24"/>
      <w:lang w:val="en-US" w:eastAsia="zh-CN" w:bidi="ar-SA"/>
    </w:rPr>
  </w:style>
  <w:style w:type="character" w:customStyle="1" w:styleId="227">
    <w:name w:val="Char Char1"/>
    <w:qFormat/>
    <w:uiPriority w:val="0"/>
    <w:rPr>
      <w:rFonts w:ascii="Arial" w:hAnsi="Arial" w:eastAsia="黑体"/>
      <w:b/>
      <w:bCs/>
      <w:kern w:val="2"/>
      <w:sz w:val="32"/>
      <w:szCs w:val="32"/>
      <w:lang w:val="en-US" w:eastAsia="zh-CN" w:bidi="ar-SA"/>
    </w:rPr>
  </w:style>
  <w:style w:type="character" w:customStyle="1" w:styleId="228">
    <w:name w:val="Intense Reference"/>
    <w:qFormat/>
    <w:uiPriority w:val="32"/>
    <w:rPr>
      <w:b/>
      <w:bCs/>
      <w:smallCaps/>
      <w:color w:val="C0504D"/>
      <w:spacing w:val="5"/>
      <w:u w:val="single"/>
    </w:rPr>
  </w:style>
  <w:style w:type="character" w:customStyle="1" w:styleId="229">
    <w:name w:val="引用 字符"/>
    <w:qFormat/>
    <w:uiPriority w:val="29"/>
    <w:rPr>
      <w:i/>
      <w:iCs/>
      <w:color w:val="000000"/>
      <w:kern w:val="2"/>
      <w:sz w:val="21"/>
      <w:szCs w:val="24"/>
    </w:rPr>
  </w:style>
  <w:style w:type="character" w:customStyle="1" w:styleId="230">
    <w:name w:val="Char Char81"/>
    <w:qFormat/>
    <w:uiPriority w:val="0"/>
    <w:rPr>
      <w:rFonts w:ascii="Arial" w:hAnsi="Arial" w:eastAsia="黑体"/>
      <w:b/>
      <w:bCs/>
      <w:kern w:val="2"/>
      <w:sz w:val="32"/>
      <w:szCs w:val="32"/>
      <w:lang w:val="en-US" w:eastAsia="zh-CN" w:bidi="ar-SA"/>
    </w:rPr>
  </w:style>
  <w:style w:type="character" w:customStyle="1" w:styleId="231">
    <w:name w:val="fontstyle01"/>
    <w:qFormat/>
    <w:uiPriority w:val="0"/>
    <w:rPr>
      <w:rFonts w:hint="eastAsia" w:ascii="宋体" w:hAnsi="宋体" w:eastAsia="宋体"/>
      <w:color w:val="000000"/>
      <w:sz w:val="22"/>
      <w:szCs w:val="22"/>
    </w:rPr>
  </w:style>
  <w:style w:type="character" w:customStyle="1" w:styleId="232">
    <w:name w:val="Subtle Reference"/>
    <w:qFormat/>
    <w:uiPriority w:val="31"/>
    <w:rPr>
      <w:smallCaps/>
      <w:color w:val="C0504D"/>
      <w:u w:val="single"/>
    </w:rPr>
  </w:style>
  <w:style w:type="character" w:customStyle="1" w:styleId="233">
    <w:name w:val="标题 3 字符1"/>
    <w:unhideWhenUsed/>
    <w:qFormat/>
    <w:uiPriority w:val="99"/>
    <w:rPr>
      <w:rFonts w:hint="default" w:hAnsi="黑体" w:eastAsia="黑体"/>
      <w:kern w:val="2"/>
      <w:sz w:val="24"/>
    </w:rPr>
  </w:style>
  <w:style w:type="character" w:customStyle="1" w:styleId="234">
    <w:name w:val="Book Title"/>
    <w:qFormat/>
    <w:uiPriority w:val="33"/>
    <w:rPr>
      <w:b/>
      <w:bCs/>
      <w:smallCaps/>
      <w:spacing w:val="5"/>
    </w:rPr>
  </w:style>
  <w:style w:type="character" w:customStyle="1" w:styleId="235">
    <w:name w:val="Subtle Emphasis"/>
    <w:qFormat/>
    <w:uiPriority w:val="19"/>
    <w:rPr>
      <w:i/>
      <w:iCs/>
      <w:color w:val="808080"/>
    </w:rPr>
  </w:style>
  <w:style w:type="character" w:customStyle="1" w:styleId="236">
    <w:name w:val="明显引用 字符"/>
    <w:qFormat/>
    <w:uiPriority w:val="30"/>
    <w:rPr>
      <w:b/>
      <w:bCs/>
      <w:i/>
      <w:iCs/>
      <w:color w:val="4F81BD"/>
      <w:kern w:val="2"/>
      <w:sz w:val="21"/>
      <w:szCs w:val="24"/>
    </w:rPr>
  </w:style>
  <w:style w:type="paragraph" w:customStyle="1" w:styleId="237">
    <w:name w:val="正文文本缩进2"/>
    <w:basedOn w:val="1"/>
    <w:qFormat/>
    <w:uiPriority w:val="0"/>
    <w:pPr>
      <w:spacing w:line="360" w:lineRule="auto"/>
      <w:ind w:firstLine="420"/>
    </w:pPr>
    <w:rPr>
      <w:rFonts w:ascii="宋体" w:hAnsi="Calibri"/>
      <w:sz w:val="24"/>
    </w:rPr>
  </w:style>
  <w:style w:type="paragraph" w:customStyle="1" w:styleId="238">
    <w:name w:val="纯文本3"/>
    <w:basedOn w:val="1"/>
    <w:qFormat/>
    <w:uiPriority w:val="0"/>
    <w:rPr>
      <w:rFonts w:ascii="宋体" w:hAnsi="Courier New"/>
      <w:sz w:val="28"/>
    </w:rPr>
  </w:style>
  <w:style w:type="paragraph" w:customStyle="1" w:styleId="239">
    <w:name w:val="Char Char2 Char Char1"/>
    <w:basedOn w:val="16"/>
    <w:unhideWhenUsed/>
    <w:qFormat/>
    <w:uiPriority w:val="99"/>
    <w:rPr>
      <w:rFonts w:hint="eastAsia" w:ascii="Tahoma" w:hAnsi="Tahoma"/>
      <w:sz w:val="24"/>
    </w:rPr>
  </w:style>
  <w:style w:type="paragraph" w:customStyle="1" w:styleId="240">
    <w:name w:val="Char2"/>
    <w:basedOn w:val="1"/>
    <w:qFormat/>
    <w:uiPriority w:val="0"/>
    <w:pPr>
      <w:tabs>
        <w:tab w:val="left" w:pos="360"/>
      </w:tabs>
    </w:pPr>
    <w:rPr>
      <w:rFonts w:ascii="Calibri" w:hAnsi="Calibri"/>
      <w:sz w:val="24"/>
    </w:rPr>
  </w:style>
  <w:style w:type="paragraph" w:customStyle="1" w:styleId="241">
    <w:name w:val="Revision"/>
    <w:semiHidden/>
    <w:qFormat/>
    <w:uiPriority w:val="99"/>
    <w:rPr>
      <w:rFonts w:ascii="Calibri" w:hAnsi="Calibri" w:eastAsia="宋体" w:cs="Times New Roman"/>
      <w:kern w:val="2"/>
      <w:sz w:val="21"/>
      <w:szCs w:val="24"/>
      <w:lang w:val="en-US" w:eastAsia="zh-CN" w:bidi="ar-SA"/>
    </w:rPr>
  </w:style>
  <w:style w:type="paragraph" w:customStyle="1" w:styleId="242">
    <w:name w:val="TOC Heading"/>
    <w:basedOn w:val="3"/>
    <w:next w:val="1"/>
    <w:qFormat/>
    <w:uiPriority w:val="39"/>
    <w:pPr>
      <w:spacing w:line="578" w:lineRule="auto"/>
      <w:outlineLvl w:val="9"/>
    </w:pPr>
    <w:rPr>
      <w:rFonts w:ascii="Calibri" w:hAnsi="Calibri"/>
    </w:rPr>
  </w:style>
  <w:style w:type="table" w:customStyle="1" w:styleId="243">
    <w:name w:val="浅色网格1"/>
    <w:basedOn w:val="48"/>
    <w:qFormat/>
    <w:uiPriority w:val="62"/>
    <w:rPr>
      <w:rFonts w:ascii="Calibri" w:hAnsi="Calibri" w:eastAsia="宋体" w:cs="Times New Roman"/>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eastAsia="Batang" w:cs="Courier New"/>
        <w:b/>
        <w:bCs/>
      </w:rPr>
      <w:tcPr>
        <w:tcBorders>
          <w:top w:val="single" w:color="000000" w:sz="8" w:space="0"/>
          <w:left w:val="single" w:color="000000" w:sz="8" w:space="0"/>
          <w:bottom w:val="single" w:color="000000" w:sz="18" w:space="0"/>
          <w:right w:val="single" w:color="000000" w:sz="8" w:space="0"/>
          <w:insideH w:val="nil"/>
          <w:insideV w:val="single" w:sz="8" w:space="0"/>
          <w:tl2br w:val="nil"/>
          <w:tr2bl w:val="nil"/>
        </w:tcBorders>
      </w:tcPr>
    </w:tblStylePr>
    <w:tblStylePr w:type="lastRow">
      <w:pPr>
        <w:spacing w:before="0" w:after="0" w:line="240" w:lineRule="auto"/>
      </w:pPr>
      <w:rPr>
        <w:rFonts w:eastAsia="Batang" w:cs="Courier New"/>
        <w:b/>
        <w:bCs/>
      </w:rPr>
      <w:tcPr>
        <w:tcBorders>
          <w:top w:val="double" w:color="000000" w:sz="6" w:space="0"/>
          <w:left w:val="single" w:color="000000" w:sz="8" w:space="0"/>
          <w:bottom w:val="single" w:color="000000" w:sz="8" w:space="0"/>
          <w:right w:val="single" w:color="000000" w:sz="8" w:space="0"/>
          <w:insideH w:val="nil"/>
          <w:insideV w:val="single" w:sz="8" w:space="0"/>
          <w:tl2br w:val="nil"/>
          <w:tr2bl w:val="nil"/>
        </w:tcBorders>
      </w:tcPr>
    </w:tblStylePr>
    <w:tblStylePr w:type="firstCol">
      <w:rPr>
        <w:rFonts w:eastAsia="Batang" w:cs="Courier New"/>
        <w:b/>
        <w:bCs/>
      </w:rPr>
    </w:tblStylePr>
    <w:tblStylePr w:type="lastCol">
      <w:rPr>
        <w:rFonts w:eastAsia="Batang" w:cs="Courier New"/>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tcPr>
    </w:tblStylePr>
  </w:style>
  <w:style w:type="table" w:customStyle="1" w:styleId="244">
    <w:name w:val="浅色列表1"/>
    <w:basedOn w:val="48"/>
    <w:qFormat/>
    <w:uiPriority w:val="61"/>
    <w:rPr>
      <w:rFonts w:ascii="Calibri" w:hAnsi="Calibri" w:eastAsia="宋体"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paragraph" w:customStyle="1" w:styleId="245">
    <w:name w:val="B"/>
    <w:basedOn w:val="1"/>
    <w:qFormat/>
    <w:uiPriority w:val="0"/>
    <w:pPr>
      <w:tabs>
        <w:tab w:val="center" w:pos="4706"/>
        <w:tab w:val="right" w:pos="9044"/>
      </w:tabs>
      <w:topLinePunct/>
      <w:spacing w:before="160" w:after="60" w:line="312" w:lineRule="exact"/>
      <w:jc w:val="center"/>
    </w:pPr>
    <w:rPr>
      <w:rFonts w:ascii="E-F1" w:hAnsi="宋体" w:eastAsia="黑体" w:cs="宋体"/>
      <w:sz w:val="24"/>
      <w:szCs w:val="21"/>
    </w:rPr>
  </w:style>
  <w:style w:type="paragraph" w:customStyle="1" w:styleId="246">
    <w:name w:val="正文表标题"/>
    <w:next w:val="67"/>
    <w:qFormat/>
    <w:uiPriority w:val="0"/>
    <w:pPr>
      <w:numPr>
        <w:ilvl w:val="0"/>
        <w:numId w:val="3"/>
      </w:numPr>
      <w:spacing w:beforeLines="50" w:afterLines="50"/>
      <w:jc w:val="center"/>
    </w:pPr>
    <w:rPr>
      <w:rFonts w:ascii="黑体" w:hAnsi="Times New Roman" w:eastAsia="黑体" w:cs="Times New Roman"/>
      <w:sz w:val="21"/>
      <w:lang w:val="en-US" w:eastAsia="zh-CN" w:bidi="ar-SA"/>
    </w:rPr>
  </w:style>
  <w:style w:type="paragraph" w:customStyle="1" w:styleId="247">
    <w:name w:val="表文"/>
    <w:basedOn w:val="1"/>
    <w:qFormat/>
    <w:uiPriority w:val="0"/>
    <w:pPr>
      <w:topLinePunct/>
      <w:spacing w:before="40" w:after="40"/>
    </w:pPr>
    <w:rPr>
      <w:rFonts w:ascii="仿宋_GB2312" w:hAnsi="仿宋_GB2312" w:eastAsia="仿宋_GB2312"/>
      <w:sz w:val="18"/>
      <w:szCs w:val="22"/>
    </w:rPr>
  </w:style>
  <w:style w:type="paragraph" w:customStyle="1" w:styleId="248">
    <w:name w:val="列表段落1"/>
    <w:basedOn w:val="1"/>
    <w:qFormat/>
    <w:uiPriority w:val="1"/>
    <w:pPr>
      <w:ind w:firstLine="420" w:firstLineChars="200"/>
    </w:pPr>
    <w:rPr>
      <w:rFonts w:asciiTheme="minorHAnsi" w:hAnsiTheme="minorHAnsi" w:eastAsiaTheme="minorEastAsia" w:cstheme="minorBidi"/>
      <w:szCs w:val="22"/>
    </w:rPr>
  </w:style>
  <w:style w:type="character" w:customStyle="1" w:styleId="249">
    <w:name w:val="Unresolved Mention"/>
    <w:basedOn w:val="51"/>
    <w:semiHidden/>
    <w:unhideWhenUsed/>
    <w:qFormat/>
    <w:uiPriority w:val="99"/>
    <w:rPr>
      <w:color w:val="605E5C"/>
      <w:shd w:val="clear" w:color="auto" w:fill="E1DFDD"/>
    </w:rPr>
  </w:style>
  <w:style w:type="character" w:customStyle="1" w:styleId="250">
    <w:name w:val="mini-outputtext1"/>
    <w:basedOn w:val="5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5DCAF5-FC8A-4465-BEA0-82533D42E1A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55</Pages>
  <Words>18283</Words>
  <Characters>20264</Characters>
  <Lines>1168</Lines>
  <Paragraphs>796</Paragraphs>
  <TotalTime>113</TotalTime>
  <ScaleCrop>false</ScaleCrop>
  <LinksUpToDate>false</LinksUpToDate>
  <CharactersWithSpaces>20426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2022-07-07T12:29:00Z</dcterms:created>
  <dc:creator>吴昊</dc:creator>
  <cp:lastModifiedBy>WPS_1740904791</cp:lastModifiedBy>
  <cp:lastPrinted>2025-08-11T06:53:00Z</cp:lastPrinted>
  <dcterms:modified xsi:type="dcterms:W3CDTF">2025-09-04T04:08:22Z</dcterms:modified>
  <cp:revision>414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CD1B8074ADD04ABCA578E82B3861C645_13</vt:lpwstr>
  </property>
  <property fmtid="{D5CDD505-2E9C-101B-9397-08002B2CF9AE}" pid="4" name="KSOTemplateDocerSaveRecord">
    <vt:lpwstr>eyJoZGlkIjoiOWQ2ZWExMDIwMTAyNTlkY2I3MDQ0MGE2NzkwYzQ5NGQiLCJ1c2VySWQiOiIxNjgzMDYyNDMxIn0=</vt:lpwstr>
  </property>
</Properties>
</file>